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HelveticaNeue-bold.ttf" ContentType="application/x-font-ttf"/>
  <Override PartName="/word/fonts/HelveticaNeue-boldItalic.ttf" ContentType="application/x-font-ttf"/>
  <Override PartName="/word/fonts/HelveticaNeue-italic.ttf" ContentType="application/x-font-ttf"/>
  <Override PartName="/word/fonts/HelveticaNeue-regular.ttf" ContentType="application/x-font-ttf"/>
  <Override PartName="/word/fonts/HelveticaNeueLight-bold.ttf" ContentType="application/x-font-ttf"/>
  <Override PartName="/word/fonts/HelveticaNeueLight-boldItalic.ttf" ContentType="application/x-font-ttf"/>
  <Override PartName="/word/fonts/HelveticaNeueLight-italic.ttf" ContentType="application/x-font-ttf"/>
  <Override PartName="/word/fonts/HelveticaNeueLight-regular.ttf" ContentType="application/x-font-ttf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>
      <w:pPr>
        <w:spacing w:before="2376" w:after="200"/>
      </w:pPr>
      <w:r>
        <w:rPr>
          <w:color w:val="5E738A"/>
          <w:sz w:val="56"/>
        </w:rPr>
        <w:t>METBRIDGE CYBER — SAMPLE RESOURCE</w:t>
      </w:r>
    </w:p>
    <w:p>
      <w:pPr>
        <w:pStyle w:val="Title"/>
        <w:spacing w:after="3096"/>
      </w:pPr>
      <w:r>
        <w:rPr>
          <w:b/>
          <w:color w:val="0B2E4F"/>
          <w:sz w:val="68"/>
        </w:rPr>
        <w:t>Cyber Security Policy Template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tblHeader w:val="true"/>
        </w:trPr>
        <w:tc>
          <w:tcPr>
            <w:tcW w:type="dxa" w:w="3408"/>
            <w:tcMar>
              <w:top w:w="50" w:type="dxa"/>
              <w:start w:w="25" w:type="dxa"/>
              <w:bottom w:w="10" w:type="dxa"/>
              <w:end w:w="25" w:type="dxa"/>
            </w:tcMar>
          </w:tcPr>
          <w:p>
            <w:pPr>
              <w:spacing w:after="0"/>
            </w:pPr>
            <w:r>
              <w:rPr>
                <w:b/>
                <w:color w:val="5E738A"/>
                <w:sz w:val="20"/>
              </w:rPr>
              <w:t>STATUS</w:t>
            </w:r>
          </w:p>
        </w:tc>
        <w:tc>
          <w:tcPr>
            <w:tcW w:type="dxa" w:w="3408"/>
            <w:tcMar>
              <w:top w:w="50" w:type="dxa"/>
              <w:start w:w="25" w:type="dxa"/>
              <w:bottom w:w="10" w:type="dxa"/>
              <w:end w:w="25" w:type="dxa"/>
            </w:tcMar>
          </w:tcPr>
          <w:p>
            <w:pPr>
              <w:spacing w:after="0"/>
            </w:pPr>
            <w:r>
              <w:rPr>
                <w:b/>
                <w:color w:val="5E738A"/>
                <w:sz w:val="20"/>
              </w:rPr>
              <w:t>OWNER</w:t>
            </w:r>
          </w:p>
        </w:tc>
        <w:tc>
          <w:tcPr>
            <w:tcW w:type="dxa" w:w="3408"/>
            <w:tcMar>
              <w:top w:w="50" w:type="dxa"/>
              <w:start w:w="25" w:type="dxa"/>
              <w:bottom w:w="10" w:type="dxa"/>
              <w:end w:w="25" w:type="dxa"/>
            </w:tcMar>
          </w:tcPr>
          <w:p>
            <w:pPr>
              <w:spacing w:after="0"/>
            </w:pPr>
            <w:r>
              <w:rPr>
                <w:b/>
                <w:color w:val="5E738A"/>
                <w:sz w:val="20"/>
              </w:rPr>
              <w:t>LAST UPDATED</w:t>
            </w:r>
          </w:p>
        </w:tc>
      </w:tr>
      <w:tr>
        <w:tc>
          <w:tcPr>
            <w:tcW w:type="dxa" w:w="3408"/>
            <w:tcMar>
              <w:top w:w="20" w:type="dxa"/>
              <w:start w:w="25" w:type="dxa"/>
              <w:bottom w:w="80" w:type="dxa"/>
              <w:end w:w="25" w:type="dxa"/>
            </w:tcMar>
          </w:tcPr>
          <w:p>
            <w:pPr>
              <w:spacing w:after="0"/>
            </w:pPr>
            <w:r>
              <w:rPr>
                <w:color w:val="23364D"/>
                <w:sz w:val="20"/>
              </w:rPr>
              <w:t>Sample / Draft</w:t>
            </w:r>
          </w:p>
        </w:tc>
        <w:tc>
          <w:tcPr>
            <w:tcW w:type="dxa" w:w="3408"/>
            <w:tcMar>
              <w:top w:w="20" w:type="dxa"/>
              <w:start w:w="25" w:type="dxa"/>
              <w:bottom w:w="80" w:type="dxa"/>
              <w:end w:w="25" w:type="dxa"/>
            </w:tcMar>
          </w:tcPr>
          <w:p>
            <w:pPr>
              <w:spacing w:after="0"/>
            </w:pPr>
            <w:r>
              <w:rPr>
                <w:color w:val="23364D"/>
                <w:sz w:val="20"/>
              </w:rPr>
              <w:t>[Organisation / Owner]</w:t>
            </w:r>
          </w:p>
        </w:tc>
        <w:tc>
          <w:tcPr>
            <w:tcW w:type="dxa" w:w="3408"/>
            <w:tcMar>
              <w:top w:w="20" w:type="dxa"/>
              <w:start w:w="25" w:type="dxa"/>
              <w:bottom w:w="80" w:type="dxa"/>
              <w:end w:w="25" w:type="dxa"/>
            </w:tcMar>
          </w:tcPr>
          <w:p>
            <w:pPr>
              <w:spacing w:after="0"/>
            </w:pPr>
            <w:r>
              <w:rPr>
                <w:color w:val="23364D"/>
                <w:sz w:val="20"/>
              </w:rPr>
              <w:t>[DD Month YYYY]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rPr>
          <w:tblHeader w:val="true"/>
        </w:trPr>
        <w:tc>
          <w:tcPr>
            <w:tcW w:type="dxa" w:w="1944"/>
            <w:shd w:fill="C8DDED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23364D"/>
              </w:rPr>
              <w:t>Document type</w:t>
            </w:r>
          </w:p>
        </w:tc>
        <w:tc>
          <w:tcPr>
            <w:tcW w:type="dxa" w:w="7920"/>
            <w:shd w:fill="F3F7F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color w:val="23364D"/>
              </w:rPr>
              <w:t>Policy</w:t>
            </w:r>
          </w:p>
        </w:tc>
      </w:tr>
      <w:tr>
        <w:tc>
          <w:tcPr>
            <w:tcW w:type="dxa" w:w="1944"/>
            <w:shd w:fill="C8DDED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23364D"/>
              </w:rPr>
              <w:t>Approved by</w:t>
            </w:r>
          </w:p>
        </w:tc>
        <w:tc>
          <w:tcPr>
            <w:tcW w:type="dxa" w:w="7920"/>
            <w:shd w:fill="F3F7F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color w:val="23364D"/>
              </w:rPr>
              <w:t>[Name / role]</w:t>
            </w:r>
          </w:p>
        </w:tc>
      </w:tr>
      <w:tr>
        <w:tc>
          <w:tcPr>
            <w:tcW w:type="dxa" w:w="1944"/>
            <w:shd w:fill="C8DDED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23364D"/>
              </w:rPr>
              <w:t>Review cycle</w:t>
            </w:r>
          </w:p>
        </w:tc>
        <w:tc>
          <w:tcPr>
            <w:tcW w:type="dxa" w:w="7920"/>
            <w:shd w:fill="F3F7F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color w:val="23364D"/>
              </w:rPr>
              <w:t>[Annual / event-driven / other]</w:t>
            </w:r>
          </w:p>
        </w:tc>
      </w:tr>
      <w:tr>
        <w:tc>
          <w:tcPr>
            <w:tcW w:type="dxa" w:w="1944"/>
            <w:shd w:fill="C8DDED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23364D"/>
              </w:rPr>
              <w:t>Scope</w:t>
            </w:r>
          </w:p>
        </w:tc>
        <w:tc>
          <w:tcPr>
            <w:tcW w:type="dxa" w:w="7920"/>
            <w:shd w:fill="F3F7F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color w:val="23364D"/>
              </w:rPr>
              <w:t>[Business units, systems, information and third parties covered]</w:t>
            </w:r>
          </w:p>
        </w:tc>
      </w:tr>
    </w:tbl>
    <w:p>
      <w:r>
        <w:br w:type="page"/>
      </w:r>
    </w:p>
    <w:p>
      <w:pPr>
        <w:spacing w:after="80" w:line="276" w:lineRule="auto"/>
      </w:pPr>
      <w:r>
        <w:rPr>
          <w:b/>
          <w:i w:val="0"/>
          <w:color w:val="0B2E4F"/>
        </w:rPr>
        <w:t>How to use this sample</w:t>
      </w:r>
    </w:p>
    <w:p>
      <w:pPr>
        <w:spacing w:after="240" w:line="276" w:lineRule="auto"/>
      </w:pPr>
      <w:r>
        <w:rPr>
          <w:b w:val="0"/>
          <w:i/>
          <w:color w:val="5E738A"/>
        </w:rPr>
        <w:t>This sample is a practical starting point. Replace bracketed fields, align the content with your organisation’s risk profile and technology environment, and obtain appropriate legal, regulatory, privacy and operational review before approval.</w:t>
      </w:r>
    </w:p>
    <w:p>
      <w:pPr>
        <w:pStyle w:val="Heading1"/>
        <w:keepNext/>
        <w:spacing w:before="260" w:after="120"/>
      </w:pPr>
      <w:r>
        <w:rPr>
          <w:b/>
          <w:color w:val="0B2E4F"/>
        </w:rPr>
        <w:t>1. Purpose</w:t>
      </w:r>
    </w:p>
    <w:p>
      <w:pPr>
        <w:spacing w:after="140" w:line="276" w:lineRule="auto"/>
      </w:pPr>
      <w:r>
        <w:rPr>
          <w:b w:val="0"/>
          <w:i w:val="0"/>
          <w:color w:val="23364D"/>
        </w:rPr>
        <w:t>This policy establishes the organisation’s direction for managing cyber security risk and protecting information, technology services and business operations.</w:t>
      </w:r>
    </w:p>
    <w:p>
      <w:pPr>
        <w:pStyle w:val="Heading1"/>
        <w:keepNext/>
        <w:spacing w:before="260" w:after="120"/>
      </w:pPr>
      <w:r>
        <w:rPr>
          <w:b/>
          <w:color w:val="0B2E4F"/>
        </w:rPr>
        <w:t>2. Scope</w:t>
      </w:r>
    </w:p>
    <w:p>
      <w:pPr>
        <w:spacing w:after="140" w:line="276" w:lineRule="auto"/>
      </w:pPr>
      <w:r>
        <w:rPr>
          <w:b w:val="0"/>
          <w:i w:val="0"/>
          <w:color w:val="23364D"/>
        </w:rPr>
        <w:t>This policy applies to [employees, contractors, suppliers, systems, locations and information classes]. Any exclusions must be recorded, risk-assessed and approved.</w:t>
      </w:r>
    </w:p>
    <w:p>
      <w:pPr>
        <w:pStyle w:val="Heading1"/>
        <w:keepNext/>
        <w:spacing w:before="260" w:after="120"/>
      </w:pPr>
      <w:r>
        <w:rPr>
          <w:b/>
          <w:color w:val="0B2E4F"/>
        </w:rPr>
        <w:t>3. Policy principles</w:t>
      </w:r>
    </w:p>
    <w:p>
      <w:pPr>
        <w:spacing w:after="80"/>
        <w:ind w:left="331" w:hanging="230"/>
      </w:pPr>
      <w:r>
        <w:rPr>
          <w:color w:val="23364D"/>
        </w:rPr>
        <w:t>•  Cyber security risk is owned and managed as part of enterprise risk management.</w:t>
      </w:r>
    </w:p>
    <w:p>
      <w:pPr>
        <w:spacing w:after="80"/>
        <w:ind w:left="331" w:hanging="230"/>
      </w:pPr>
      <w:r>
        <w:rPr>
          <w:color w:val="23364D"/>
        </w:rPr>
        <w:t>•  Access is granted on least-privilege and need-to-know principles.</w:t>
      </w:r>
    </w:p>
    <w:p>
      <w:pPr>
        <w:spacing w:after="80"/>
        <w:ind w:left="331" w:hanging="230"/>
      </w:pPr>
      <w:r>
        <w:rPr>
          <w:color w:val="23364D"/>
        </w:rPr>
        <w:t>•  Security controls are selected in proportion to information sensitivity, threat exposure and business impact.</w:t>
      </w:r>
    </w:p>
    <w:p>
      <w:pPr>
        <w:spacing w:after="80"/>
        <w:ind w:left="331" w:hanging="230"/>
      </w:pPr>
      <w:r>
        <w:rPr>
          <w:color w:val="23364D"/>
        </w:rPr>
        <w:t>•  Security events are reported promptly and handled under the incident response process.</w:t>
      </w:r>
    </w:p>
    <w:p>
      <w:pPr>
        <w:spacing w:after="80"/>
        <w:ind w:left="331" w:hanging="230"/>
      </w:pPr>
      <w:r>
        <w:rPr>
          <w:color w:val="23364D"/>
        </w:rPr>
        <w:t>•  Controls, exceptions and residual risks are documented, monitored and reviewed.</w:t>
      </w:r>
    </w:p>
    <w:p>
      <w:pPr>
        <w:pStyle w:val="Heading1"/>
        <w:keepNext/>
        <w:spacing w:before="260" w:after="120"/>
      </w:pPr>
      <w:r>
        <w:rPr>
          <w:b/>
          <w:color w:val="0B2E4F"/>
        </w:rPr>
        <w:t>4. Roles and responsibilities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rPr>
          <w:tblHeader w:val="true"/>
          <w:cantSplit/>
        </w:trPr>
        <w:tc>
          <w:tcPr>
            <w:tcW w:type="dxa" w:w="3096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Role</w:t>
            </w:r>
          </w:p>
        </w:tc>
        <w:tc>
          <w:tcPr>
            <w:tcW w:type="dxa" w:w="6840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Responsibilities</w:t>
            </w:r>
          </w:p>
        </w:tc>
      </w:tr>
      <w:tr>
        <w:trPr>
          <w:cantSplit/>
        </w:trPr>
        <w:tc>
          <w:tcPr>
            <w:tcW w:type="dxa" w:w="3096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Board / governing body</w:t>
            </w:r>
          </w:p>
        </w:tc>
        <w:tc>
          <w:tcPr>
            <w:tcW w:type="dxa" w:w="684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Set risk appetite; oversee material cyber risk and assurance.</w:t>
            </w:r>
          </w:p>
        </w:tc>
      </w:tr>
      <w:tr>
        <w:trPr>
          <w:cantSplit/>
        </w:trPr>
        <w:tc>
          <w:tcPr>
            <w:tcW w:type="dxa" w:w="3096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Executive accountable owner</w:t>
            </w:r>
          </w:p>
        </w:tc>
        <w:tc>
          <w:tcPr>
            <w:tcW w:type="dxa" w:w="684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Approve this policy; fund priorities; accept material residual risk.</w:t>
            </w:r>
          </w:p>
        </w:tc>
      </w:tr>
      <w:tr>
        <w:trPr>
          <w:cantSplit/>
        </w:trPr>
        <w:tc>
          <w:tcPr>
            <w:tcW w:type="dxa" w:w="3096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Cyber / IT security</w:t>
            </w:r>
          </w:p>
        </w:tc>
        <w:tc>
          <w:tcPr>
            <w:tcW w:type="dxa" w:w="684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Maintain controls, monitoring, advice, incident readiness and reporting.</w:t>
            </w:r>
          </w:p>
        </w:tc>
      </w:tr>
      <w:tr>
        <w:trPr>
          <w:cantSplit/>
        </w:trPr>
        <w:tc>
          <w:tcPr>
            <w:tcW w:type="dxa" w:w="3096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System and information owners</w:t>
            </w:r>
          </w:p>
        </w:tc>
        <w:tc>
          <w:tcPr>
            <w:tcW w:type="dxa" w:w="684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Classify assets, approve access, assess changes and remediate risks.</w:t>
            </w:r>
          </w:p>
        </w:tc>
      </w:tr>
      <w:tr>
        <w:trPr>
          <w:cantSplit/>
        </w:trPr>
        <w:tc>
          <w:tcPr>
            <w:tcW w:type="dxa" w:w="3096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People and suppliers</w:t>
            </w:r>
          </w:p>
        </w:tc>
        <w:tc>
          <w:tcPr>
            <w:tcW w:type="dxa" w:w="684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Follow requirements; protect credentials; report suspected events promptly.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60" w:after="120"/>
      </w:pPr>
      <w:r>
        <w:rPr>
          <w:b/>
          <w:color w:val="0B2E4F"/>
        </w:rPr>
        <w:t>5. Access and identity</w:t>
      </w:r>
    </w:p>
    <w:p>
      <w:pPr>
        <w:spacing w:after="80"/>
        <w:ind w:left="331" w:hanging="230"/>
      </w:pPr>
      <w:r>
        <w:rPr>
          <w:color w:val="23364D"/>
        </w:rPr>
        <w:t>•  Unique user identities must be used; shared accounts require documented justification and compensating controls.</w:t>
      </w:r>
    </w:p>
    <w:p>
      <w:pPr>
        <w:spacing w:after="80"/>
        <w:ind w:left="331" w:hanging="230"/>
      </w:pPr>
      <w:r>
        <w:rPr>
          <w:color w:val="23364D"/>
        </w:rPr>
        <w:t>•  Multi-factor authentication is required for [remote, privileged and other defined access].</w:t>
      </w:r>
    </w:p>
    <w:p>
      <w:pPr>
        <w:spacing w:after="80"/>
        <w:ind w:left="331" w:hanging="230"/>
      </w:pPr>
      <w:r>
        <w:rPr>
          <w:color w:val="23364D"/>
        </w:rPr>
        <w:t>•  Access rights must be approved, reviewed at [frequency], and removed promptly when no longer required.</w:t>
      </w:r>
    </w:p>
    <w:p>
      <w:pPr>
        <w:spacing w:after="80"/>
        <w:ind w:left="331" w:hanging="230"/>
      </w:pPr>
      <w:r>
        <w:rPr>
          <w:color w:val="23364D"/>
        </w:rPr>
        <w:t>•  Privileged activity must use controlled accounts and be logged in accordance with the monitoring standard.</w:t>
      </w:r>
    </w:p>
    <w:p>
      <w:pPr>
        <w:pStyle w:val="Heading1"/>
        <w:keepNext/>
        <w:spacing w:before="260" w:after="120"/>
      </w:pPr>
      <w:r>
        <w:rPr>
          <w:b/>
          <w:color w:val="0B2E4F"/>
        </w:rPr>
        <w:t>6. Information and technology protection</w:t>
      </w:r>
    </w:p>
    <w:p>
      <w:pPr>
        <w:spacing w:after="80"/>
        <w:ind w:left="331" w:hanging="230"/>
      </w:pPr>
      <w:r>
        <w:rPr>
          <w:color w:val="23364D"/>
        </w:rPr>
        <w:t>•  Information must be classified, handled, retained and securely disposed of under the organisation’s information-handling rules.</w:t>
      </w:r>
    </w:p>
    <w:p>
      <w:pPr>
        <w:spacing w:after="80"/>
        <w:ind w:left="331" w:hanging="230"/>
      </w:pPr>
      <w:r>
        <w:rPr>
          <w:color w:val="23364D"/>
        </w:rPr>
        <w:t>•  Organisation-managed devices must use approved configuration, patching, endpoint protection and encryption controls.</w:t>
      </w:r>
    </w:p>
    <w:p>
      <w:pPr>
        <w:spacing w:after="80"/>
        <w:ind w:left="331" w:hanging="230"/>
      </w:pPr>
      <w:r>
        <w:rPr>
          <w:color w:val="23364D"/>
        </w:rPr>
        <w:t>•  Security requirements must be considered during acquisition, development, change and decommissioning.</w:t>
      </w:r>
    </w:p>
    <w:p>
      <w:pPr>
        <w:spacing w:after="80"/>
        <w:ind w:left="331" w:hanging="230"/>
      </w:pPr>
      <w:r>
        <w:rPr>
          <w:color w:val="23364D"/>
        </w:rPr>
        <w:t>•  Backups must be protected, monitored and restoration-tested according to business recovery requirements.</w:t>
      </w:r>
    </w:p>
    <w:p>
      <w:pPr>
        <w:pStyle w:val="Heading1"/>
        <w:keepNext/>
        <w:spacing w:before="260" w:after="120"/>
      </w:pPr>
      <w:r>
        <w:rPr>
          <w:b/>
          <w:color w:val="0B2E4F"/>
        </w:rPr>
        <w:t>7. Vulnerability and security monitoring</w:t>
      </w:r>
    </w:p>
    <w:p>
      <w:pPr>
        <w:spacing w:after="140" w:line="276" w:lineRule="auto"/>
      </w:pPr>
      <w:r>
        <w:rPr>
          <w:b w:val="0"/>
          <w:i w:val="0"/>
          <w:color w:val="23364D"/>
        </w:rPr>
        <w:t>The organisation will identify vulnerabilities, prioritise remediation using risk and exposure, monitor security-relevant activity, and retain logs for [period] in line with legal and operational requirements.</w:t>
      </w:r>
    </w:p>
    <w:p>
      <w:pPr>
        <w:pStyle w:val="Heading1"/>
        <w:keepNext/>
        <w:spacing w:before="260" w:after="120"/>
      </w:pPr>
      <w:r>
        <w:rPr>
          <w:b/>
          <w:color w:val="0B2E4F"/>
        </w:rPr>
        <w:t>8. Incident management</w:t>
      </w:r>
    </w:p>
    <w:p>
      <w:pPr>
        <w:spacing w:after="140" w:line="276" w:lineRule="auto"/>
      </w:pPr>
      <w:r>
        <w:rPr>
          <w:b w:val="0"/>
          <w:i w:val="0"/>
          <w:color w:val="23364D"/>
        </w:rPr>
        <w:t>Suspected cyber security events must be reported through [reporting channel]. Incidents will be assessed, contained, investigated, recovered and reviewed using the approved incident response procedure and relevant playbooks.</w:t>
      </w:r>
    </w:p>
    <w:p>
      <w:pPr>
        <w:pStyle w:val="Heading1"/>
        <w:keepNext/>
        <w:spacing w:before="260" w:after="120"/>
      </w:pPr>
      <w:r>
        <w:rPr>
          <w:b/>
          <w:color w:val="0B2E4F"/>
        </w:rPr>
        <w:t>9. Third parties</w:t>
      </w:r>
    </w:p>
    <w:p>
      <w:pPr>
        <w:spacing w:after="140" w:line="276" w:lineRule="auto"/>
      </w:pPr>
      <w:r>
        <w:rPr>
          <w:b w:val="0"/>
          <w:i w:val="0"/>
          <w:color w:val="23364D"/>
        </w:rPr>
        <w:t>Security due diligence, contractual requirements, access controls, incident notification expectations and ongoing assurance must be proportionate to the supplier’s access and service criticality.</w:t>
      </w:r>
    </w:p>
    <w:p>
      <w:pPr>
        <w:pStyle w:val="Heading1"/>
        <w:keepNext/>
        <w:spacing w:before="260" w:after="120"/>
      </w:pPr>
      <w:r>
        <w:rPr>
          <w:b/>
          <w:color w:val="0B2E4F"/>
        </w:rPr>
        <w:t>10. Awareness and acceptable use</w:t>
      </w:r>
    </w:p>
    <w:p>
      <w:pPr>
        <w:spacing w:after="140" w:line="276" w:lineRule="auto"/>
      </w:pPr>
      <w:r>
        <w:rPr>
          <w:b w:val="0"/>
          <w:i w:val="0"/>
          <w:color w:val="23364D"/>
        </w:rPr>
        <w:t>Personnel must complete required awareness activities and use organisational systems in accordance with acceptable-use, confidentiality and records-management requirements.</w:t>
      </w:r>
    </w:p>
    <w:p>
      <w:pPr>
        <w:pStyle w:val="Heading1"/>
        <w:keepNext/>
        <w:spacing w:before="260" w:after="120"/>
      </w:pPr>
      <w:r>
        <w:rPr>
          <w:b/>
          <w:color w:val="0B2E4F"/>
        </w:rPr>
        <w:t>11. Exceptions and non-compliance</w:t>
      </w:r>
    </w:p>
    <w:p>
      <w:pPr>
        <w:spacing w:after="140" w:line="276" w:lineRule="auto"/>
      </w:pPr>
      <w:r>
        <w:rPr>
          <w:b w:val="0"/>
          <w:i w:val="0"/>
          <w:color w:val="23364D"/>
        </w:rPr>
        <w:t>Exceptions require a documented business reason, risk assessment, compensating controls, owner, approval and expiry date. Suspected non-compliance is handled under [applicable process].</w:t>
      </w:r>
    </w:p>
    <w:p>
      <w:pPr>
        <w:pStyle w:val="Heading1"/>
        <w:keepNext/>
        <w:spacing w:before="260" w:after="120"/>
      </w:pPr>
      <w:r>
        <w:rPr>
          <w:b/>
          <w:color w:val="0B2E4F"/>
        </w:rPr>
        <w:t>12. Measurement and review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  <w:cantSplit/>
        </w:trPr>
        <w:tc>
          <w:tcPr>
            <w:tcW w:type="dxa" w:w="3528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Measure</w:t>
            </w:r>
          </w:p>
        </w:tc>
        <w:tc>
          <w:tcPr>
            <w:tcW w:type="dxa" w:w="2520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Target / threshold</w:t>
            </w:r>
          </w:p>
        </w:tc>
        <w:tc>
          <w:tcPr>
            <w:tcW w:type="dxa" w:w="1944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Owner</w:t>
            </w:r>
          </w:p>
        </w:tc>
        <w:tc>
          <w:tcPr>
            <w:tcW w:type="dxa" w:w="1944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Frequency</w:t>
            </w:r>
          </w:p>
        </w:tc>
      </w:tr>
      <w:tr>
        <w:trPr>
          <w:cantSplit/>
        </w:trPr>
        <w:tc>
          <w:tcPr>
            <w:tcW w:type="dxa" w:w="3528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Critical access reviews completed</w:t>
            </w:r>
          </w:p>
        </w:tc>
        <w:tc>
          <w:tcPr>
            <w:tcW w:type="dxa" w:w="252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[Target]</w:t>
            </w:r>
          </w:p>
        </w:tc>
        <w:tc>
          <w:tcPr>
            <w:tcW w:type="dxa" w:w="1944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[Owner]</w:t>
            </w:r>
          </w:p>
        </w:tc>
        <w:tc>
          <w:tcPr>
            <w:tcW w:type="dxa" w:w="1944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[Frequency]</w:t>
            </w:r>
          </w:p>
        </w:tc>
      </w:tr>
      <w:tr>
        <w:trPr>
          <w:cantSplit/>
        </w:trPr>
        <w:tc>
          <w:tcPr>
            <w:tcW w:type="dxa" w:w="3528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Critical vulnerabilities within target</w:t>
            </w:r>
          </w:p>
        </w:tc>
        <w:tc>
          <w:tcPr>
            <w:tcW w:type="dxa" w:w="252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[Target]</w:t>
            </w:r>
          </w:p>
        </w:tc>
        <w:tc>
          <w:tcPr>
            <w:tcW w:type="dxa" w:w="1944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[Owner]</w:t>
            </w:r>
          </w:p>
        </w:tc>
        <w:tc>
          <w:tcPr>
            <w:tcW w:type="dxa" w:w="1944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[Frequency]</w:t>
            </w:r>
          </w:p>
        </w:tc>
      </w:tr>
      <w:tr>
        <w:trPr>
          <w:cantSplit/>
        </w:trPr>
        <w:tc>
          <w:tcPr>
            <w:tcW w:type="dxa" w:w="3528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Incident exercises completed</w:t>
            </w:r>
          </w:p>
        </w:tc>
        <w:tc>
          <w:tcPr>
            <w:tcW w:type="dxa" w:w="252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[Target]</w:t>
            </w:r>
          </w:p>
        </w:tc>
        <w:tc>
          <w:tcPr>
            <w:tcW w:type="dxa" w:w="1944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[Owner]</w:t>
            </w:r>
          </w:p>
        </w:tc>
        <w:tc>
          <w:tcPr>
            <w:tcW w:type="dxa" w:w="1944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[Frequency]</w:t>
            </w:r>
          </w:p>
        </w:tc>
      </w:tr>
      <w:tr>
        <w:trPr>
          <w:cantSplit/>
        </w:trPr>
        <w:tc>
          <w:tcPr>
            <w:tcW w:type="dxa" w:w="3528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Overdue policy exceptions</w:t>
            </w:r>
          </w:p>
        </w:tc>
        <w:tc>
          <w:tcPr>
            <w:tcW w:type="dxa" w:w="252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[Threshold]</w:t>
            </w:r>
          </w:p>
        </w:tc>
        <w:tc>
          <w:tcPr>
            <w:tcW w:type="dxa" w:w="1944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[Owner]</w:t>
            </w:r>
          </w:p>
        </w:tc>
        <w:tc>
          <w:tcPr>
            <w:tcW w:type="dxa" w:w="1944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[Frequency]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60" w:after="120"/>
      </w:pPr>
      <w:r>
        <w:rPr>
          <w:b/>
          <w:color w:val="0B2E4F"/>
        </w:rPr>
        <w:t>13. Approval record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  <w:cantSplit/>
        </w:trPr>
        <w:tc>
          <w:tcPr>
            <w:tcW w:type="dxa" w:w="1440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Version</w:t>
            </w:r>
          </w:p>
        </w:tc>
        <w:tc>
          <w:tcPr>
            <w:tcW w:type="dxa" w:w="3744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Approved by</w:t>
            </w:r>
          </w:p>
        </w:tc>
        <w:tc>
          <w:tcPr>
            <w:tcW w:type="dxa" w:w="2232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Date</w:t>
            </w:r>
          </w:p>
        </w:tc>
        <w:tc>
          <w:tcPr>
            <w:tcW w:type="dxa" w:w="2520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Next review</w:t>
            </w:r>
          </w:p>
        </w:tc>
      </w:tr>
      <w:tr>
        <w:trPr>
          <w:cantSplit/>
        </w:trPr>
        <w:tc>
          <w:tcPr>
            <w:tcW w:type="dxa" w:w="144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[1.0]</w:t>
            </w:r>
          </w:p>
        </w:tc>
        <w:tc>
          <w:tcPr>
            <w:tcW w:type="dxa" w:w="3744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[Name / role]</w:t>
            </w:r>
          </w:p>
        </w:tc>
        <w:tc>
          <w:tcPr>
            <w:tcW w:type="dxa" w:w="2232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[Date]</w:t>
            </w:r>
          </w:p>
        </w:tc>
        <w:tc>
          <w:tcPr>
            <w:tcW w:type="dxa" w:w="252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[Date]</w:t>
            </w:r>
          </w:p>
        </w:tc>
      </w:tr>
    </w:tbl>
    <w:p>
      <w:pPr>
        <w:spacing w:after="20"/>
      </w:pPr>
    </w:p>
    <w:sectPr>
      <w:headerReference r:id="rId10" w:type="default"/>
      <w:headerReference r:id="rId11" w:type="first"/>
      <w:footerReference r:id="rId12" w:type="default"/>
      <w:footerReference r:id="rId13" w:type="first"/>
      <w:pgSz w:h="15840" w:w="12240" w:orient="portrait"/>
      <w:pgMar w:bottom="893" w:top="1008" w:left="1008" w:right="1008" w:header="720" w:footer="720"/>
      <w:pgNumType w:start="1"/>
      <w:titlePg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14:paraId="000000F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6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5b7085"/>
        <w:sz w:val="20"/>
        <w:szCs w:val="20"/>
        <w:u w:val="none"/>
        <w:shd w:fill="auto" w:val="clear"/>
        <w:vertAlign w:val="baseline"/>
      </w:rPr>
    </w:pPr>
    <w:r>
      <w:rPr>
        <w:color w:val="5E738A"/>
        <w:sz w:val="16"/>
      </w:rPr>
      <w:t>Metbridge Cyber | Sample Template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14:paraId="000000F9">
    <w:pPr>
      <w:jc w:val="center"/>
      <w:rPr/>
    </w:pPr>
    <w:r>
      <w:rPr>
        <w:color w:val="5E738A"/>
        <w:sz w:val="16"/>
      </w:rPr>
      <w:t>Metbridge Cyber | Sample Template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14:paraId="000000F5">
      <w:pPr>
        <w:spacing w:after="0" w:line="270" w:lineRule="auto"/>
        <w:jc w:val="both"/>
        <w:rPr/>
      </w:pPr>
      <w:r>
        <w:rPr>
          <w:rStyle w:val="FootnoteReference"/>
          <w:vertAlign w:val="superscript"/>
        </w:rPr>
        <w:footnoteRef/>
      </w:r>
      <w:r>
        <w:rPr>
          <w:color w:val="233447"/>
          <w:rtl w:val="0"/>
        </w:rPr>
        <w:t xml:space="preserve"> Use footnotes for definitions, assumptions, or terms that need precision without interrupting the main narrative.</w:t>
      </w:r>
      <w:r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14:paraId="000000F6">
    <w:pPr>
      <w:rPr/>
    </w:pPr>
    <w:r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14:paraId="000000F8">
    <w:pPr>
      <w:rPr/>
    </w:pPr>
    <w:r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lowerLetter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)"/>
      <w:lvlJc w:val="left"/>
      <w:pPr>
        <w:ind w:left="1080" w:hanging="360"/>
      </w:pPr>
      <w:rPr/>
    </w:lvl>
    <w:lvl w:ilvl="3">
      <w:start w:val="1"/>
      <w:numFmt w:val="decimal"/>
      <w:lvlText w:val="(%4)"/>
      <w:lvlJc w:val="left"/>
      <w:pPr>
        <w:ind w:left="1440" w:hanging="360"/>
      </w:pPr>
      <w:rPr/>
    </w:lvl>
    <w:lvl w:ilvl="4">
      <w:start w:val="1"/>
      <w:numFmt w:val="lowerLetter"/>
      <w:lvlText w:val="(%5)"/>
      <w:lvlJc w:val="left"/>
      <w:pPr>
        <w:ind w:left="1800" w:hanging="360"/>
      </w:pPr>
      <w:rPr/>
    </w:lvl>
    <w:lvl w:ilvl="5">
      <w:start w:val="1"/>
      <w:numFmt w:val="lowerRoman"/>
      <w:lvlText w:val="(%6)"/>
      <w:lvlJc w:val="left"/>
      <w:pPr>
        <w:ind w:left="2160" w:hanging="360"/>
      </w:pPr>
      <w:rPr/>
    </w:lvl>
    <w:lvl w:ilvl="6">
      <w:start w:val="1"/>
      <w:numFmt w:val="decimal"/>
      <w:lvlText w:val="%7."/>
      <w:lvlJc w:val="left"/>
      <w:pPr>
        <w:ind w:left="2520" w:hanging="360"/>
      </w:pPr>
      <w:rPr/>
    </w:lvl>
    <w:lvl w:ilvl="7">
      <w:start w:val="1"/>
      <w:numFmt w:val="lowerLetter"/>
      <w:lvlText w:val="%8."/>
      <w:lvlJc w:val="left"/>
      <w:pPr>
        <w:ind w:left="2880" w:hanging="360"/>
      </w:pPr>
      <w:rPr/>
    </w:lvl>
    <w:lvl w:ilvl="8">
      <w:start w:val="1"/>
      <w:numFmt w:val="lowerRoman"/>
      <w:lvlText w:val="%9."/>
      <w:lvlJc w:val="left"/>
      <w:pPr>
        <w:ind w:left="3240" w:hanging="360"/>
      </w:pPr>
      <w:rPr/>
    </w:lvl>
  </w:abstractNum>
  <w:abstractNum w:abstractNumId="3">
    <w:lvl w:ilvl="0">
      <w:start w:val="1"/>
      <w:numFmt w:val="lowerLetter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)"/>
      <w:lvlJc w:val="left"/>
      <w:pPr>
        <w:ind w:left="1080" w:hanging="360"/>
      </w:pPr>
      <w:rPr/>
    </w:lvl>
    <w:lvl w:ilvl="3">
      <w:start w:val="1"/>
      <w:numFmt w:val="decimal"/>
      <w:lvlText w:val="(%4)"/>
      <w:lvlJc w:val="left"/>
      <w:pPr>
        <w:ind w:left="1440" w:hanging="360"/>
      </w:pPr>
      <w:rPr/>
    </w:lvl>
    <w:lvl w:ilvl="4">
      <w:start w:val="1"/>
      <w:numFmt w:val="lowerLetter"/>
      <w:lvlText w:val="(%5)"/>
      <w:lvlJc w:val="left"/>
      <w:pPr>
        <w:ind w:left="1800" w:hanging="360"/>
      </w:pPr>
      <w:rPr/>
    </w:lvl>
    <w:lvl w:ilvl="5">
      <w:start w:val="1"/>
      <w:numFmt w:val="lowerRoman"/>
      <w:lvlText w:val="(%6)"/>
      <w:lvlJc w:val="left"/>
      <w:pPr>
        <w:ind w:left="2160" w:hanging="360"/>
      </w:pPr>
      <w:rPr/>
    </w:lvl>
    <w:lvl w:ilvl="6">
      <w:start w:val="1"/>
      <w:numFmt w:val="decimal"/>
      <w:lvlText w:val="%7."/>
      <w:lvlJc w:val="left"/>
      <w:pPr>
        <w:ind w:left="2520" w:hanging="360"/>
      </w:pPr>
      <w:rPr/>
    </w:lvl>
    <w:lvl w:ilvl="7">
      <w:start w:val="1"/>
      <w:numFmt w:val="lowerLetter"/>
      <w:lvlText w:val="%8."/>
      <w:lvlJc w:val="left"/>
      <w:pPr>
        <w:ind w:left="2880" w:hanging="360"/>
      </w:pPr>
      <w:rPr/>
    </w:lvl>
    <w:lvl w:ilvl="8">
      <w:start w:val="1"/>
      <w:numFmt w:val="lowerRoman"/>
      <w:lvlText w:val="%9."/>
      <w:lvlJc w:val="left"/>
      <w:pPr>
        <w:ind w:left="3240" w:hanging="360"/>
      </w:pPr>
      <w:rPr/>
    </w:lvl>
  </w:abstractNum>
  <w:abstractNum w:abstractNumId="4">
    <w:lvl w:ilvl="0">
      <w:start w:val="1"/>
      <w:numFmt w:val="lowerLetter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233447"/>
        <w:lang w:val="en"/>
      </w:rPr>
    </w:rPrDefault>
    <w:pPrDefault>
      <w:pPr>
        <w:spacing w:after="110" w:line="3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  <w:pPr>
      <w:spacing w:after="140" w:line="276" w:lineRule="auto"/>
    </w:pPr>
    <w:rPr>
      <w:rFonts w:ascii="Helvetica Neue" w:hAnsi="Helvetica Neue"/>
      <w:color w:val="23364D"/>
      <w:sz w:val="21"/>
    </w:rPr>
  </w:style>
  <w:style w:type="paragraph" w:styleId="Heading1">
    <w:name w:val="heading 1"/>
    <w:basedOn w:val="Normal"/>
    <w:next w:val="Normal"/>
    <w:pPr>
      <w:keepNext w:val="1"/>
      <w:keepLines w:val="1"/>
      <w:pBdr>
        <w:top w:color="2f6b9a" w:space="2" w:sz="0" w:val="none"/>
        <w:left w:color="2f6b9a" w:space="2" w:sz="0" w:val="none"/>
        <w:bottom w:color="2f6b9a" w:space="2" w:sz="0" w:val="none"/>
        <w:right w:color="2f6b9a" w:space="2" w:sz="0" w:val="none"/>
      </w:pBdr>
      <w:spacing w:after="130" w:line="285" w:lineRule="auto"/>
    </w:pPr>
    <w:rPr>
      <w:rFonts w:ascii="Helvetica Neue" w:hAnsi="Helvetica Neue"/>
      <w:b/>
      <w:bCs w:val="1"/>
      <w:color w:val="0B2E4F"/>
      <w:sz w:val="36"/>
      <w:szCs w:val="27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smallCaps w:val="1"/>
      <w:color w:val="082a4a"/>
      <w:sz w:val="19"/>
      <w:szCs w:val="19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rFonts w:ascii="Helvetica Neue" w:cs="Helvetica Neue" w:eastAsia="Helvetica Neue" w:hAnsi="Helvetica Neue"/>
      <w:b/>
      <w:bCs w:val="1"/>
      <w:color w:val="0B2E4F"/>
      <w:sz w:val="22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082a4a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082a4a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082a4a"/>
    </w:rPr>
  </w:style>
  <w:style w:type="paragraph" w:styleId="Title">
    <w:name w:val="Title"/>
    <w:basedOn w:val="Normal"/>
    <w:next w:val="Normal"/>
    <w:pPr>
      <w:spacing w:after="150" w:lineRule="auto"/>
    </w:pPr>
    <w:rPr>
      <w:rFonts w:ascii="Helvetica Neue" w:hAnsi="Helvetica Neue"/>
      <w:b/>
      <w:bCs w:val="1"/>
      <w:color w:val="0B2E4F"/>
      <w:sz w:val="68"/>
      <w:szCs w:val="44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082a4a"/>
      <w:sz w:val="24"/>
      <w:szCs w:val="24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'1.0' encoding='UTF-8' standalone='yes'?>
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example.com/system-design/contracts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8" Type="http://schemas.openxmlformats.org/officeDocument/2006/relationships/image" Target="media/image1.png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HelveticaNeueLight-regular.ttf"/><Relationship Id="rId6" Type="http://schemas.openxmlformats.org/officeDocument/2006/relationships/font" Target="fonts/HelveticaNeueLight-bold.ttf"/><Relationship Id="rId7" Type="http://schemas.openxmlformats.org/officeDocument/2006/relationships/font" Target="fonts/HelveticaNeueLight-italic.ttf"/><Relationship Id="rId8" Type="http://schemas.openxmlformats.org/officeDocument/2006/relationships/font" Target="fonts/HelveticaNeueLigh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Cyber Security Policy Template</dc:title>
  <cp:lastModifiedBy>Metbridge Pty Ltd</cp:lastModifiedBy>
  <cp:revision>1</cp:revision>
  <dcterms:modified xsi:type="dcterms:W3CDTF">2026-09-05T00:53:13Z</dcterms:modified>
  <dc:subject>Editable sample cyber security template</dc:subject>
  <dc:creator>Metbridge Pty Ltd</dc:creator>
  <dc:description/>
  <cp:keywords>cyber security, template, governance</cp:keywords>
</cp:coreProperties>
</file>