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HelveticaNeue-bold.ttf" ContentType="application/x-font-ttf"/>
  <Override PartName="/word/fonts/HelveticaNeue-boldItalic.ttf" ContentType="application/x-font-ttf"/>
  <Override PartName="/word/fonts/HelveticaNeue-italic.ttf" ContentType="application/x-font-ttf"/>
  <Override PartName="/word/fonts/HelveticaNeue-regular.ttf" ContentType="application/x-font-ttf"/>
  <Override PartName="/word/fonts/HelveticaNeueLight-bold.ttf" ContentType="application/x-font-ttf"/>
  <Override PartName="/word/fonts/HelveticaNeueLight-boldItalic.ttf" ContentType="application/x-font-ttf"/>
  <Override PartName="/word/fonts/HelveticaNeueLight-italic.ttf" ContentType="application/x-font-ttf"/>
  <Override PartName="/word/fonts/HelveticaNeueLight-regular.ttf" ContentType="application/x-font-ttf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>
      <w:pPr>
        <w:spacing w:before="2376" w:after="200"/>
      </w:pPr>
      <w:r>
        <w:rPr>
          <w:color w:val="5E738A"/>
          <w:sz w:val="56"/>
        </w:rPr>
        <w:t>METBRIDGE CYBER — SAMPLE RESOURCE</w:t>
      </w:r>
    </w:p>
    <w:p>
      <w:pPr>
        <w:pStyle w:val="Title"/>
        <w:spacing w:after="3096"/>
      </w:pPr>
      <w:r>
        <w:rPr>
          <w:b/>
          <w:color w:val="0B2E4F"/>
          <w:sz w:val="68"/>
        </w:rPr>
        <w:t>Incident Response Procedure Template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STATUS</w:t>
            </w:r>
          </w:p>
        </w:tc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OWNER</w:t>
            </w:r>
          </w:p>
        </w:tc>
        <w:tc>
          <w:tcPr>
            <w:tcW w:type="dxa" w:w="3408"/>
            <w:tcMar>
              <w:top w:w="50" w:type="dxa"/>
              <w:start w:w="25" w:type="dxa"/>
              <w:bottom w:w="10" w:type="dxa"/>
              <w:end w:w="25" w:type="dxa"/>
            </w:tcMar>
          </w:tcPr>
          <w:p>
            <w:pPr>
              <w:spacing w:after="0"/>
            </w:pPr>
            <w:r>
              <w:rPr>
                <w:b/>
                <w:color w:val="5E738A"/>
                <w:sz w:val="20"/>
              </w:rPr>
              <w:t>LAST UPDATED</w:t>
            </w:r>
          </w:p>
        </w:tc>
      </w:tr>
      <w:tr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Sample / Draft</w:t>
            </w:r>
          </w:p>
        </w:tc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[Organisation / Owner]</w:t>
            </w:r>
          </w:p>
        </w:tc>
        <w:tc>
          <w:tcPr>
            <w:tcW w:type="dxa" w:w="3408"/>
            <w:tcMar>
              <w:top w:w="20" w:type="dxa"/>
              <w:start w:w="25" w:type="dxa"/>
              <w:bottom w:w="80" w:type="dxa"/>
              <w:end w:w="25" w:type="dxa"/>
            </w:tcMar>
          </w:tcPr>
          <w:p>
            <w:pPr>
              <w:spacing w:after="0"/>
            </w:pPr>
            <w:r>
              <w:rPr>
                <w:color w:val="23364D"/>
                <w:sz w:val="20"/>
              </w:rPr>
              <w:t>[DD Month YYYY]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Document type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Procedure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Approved by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[Name / role]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Review cycle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[Annual / event-driven / other]</w:t>
            </w:r>
          </w:p>
        </w:tc>
      </w:tr>
      <w:tr>
        <w:tc>
          <w:tcPr>
            <w:tcW w:type="dxa" w:w="1944"/>
            <w:shd w:fill="C8DDED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b/>
                <w:color w:val="23364D"/>
              </w:rPr>
              <w:t>Scope</w:t>
            </w:r>
          </w:p>
        </w:tc>
        <w:tc>
          <w:tcPr>
            <w:tcW w:type="dxa" w:w="7920"/>
            <w:shd w:fill="F3F7FA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rPr>
                <w:color w:val="23364D"/>
              </w:rPr>
              <w:t>[Cyber security incidents affecting organisational operations or information]</w:t>
            </w:r>
          </w:p>
        </w:tc>
      </w:tr>
    </w:tbl>
    <w:p>
      <w:r>
        <w:br w:type="page"/>
      </w:r>
    </w:p>
    <w:p>
      <w:pPr>
        <w:spacing w:after="80" w:line="276" w:lineRule="auto"/>
      </w:pPr>
      <w:r>
        <w:rPr>
          <w:b/>
          <w:i w:val="0"/>
          <w:color w:val="0B2E4F"/>
        </w:rPr>
        <w:t>How to use this sample</w:t>
      </w:r>
    </w:p>
    <w:p>
      <w:pPr>
        <w:spacing w:after="240" w:line="276" w:lineRule="auto"/>
      </w:pPr>
      <w:r>
        <w:rPr>
          <w:b w:val="0"/>
          <w:i/>
          <w:color w:val="5E738A"/>
        </w:rPr>
        <w:t>This sample is a practical starting point. Replace bracketed fields, align the content with your organisation’s risk profile and technology environment, and obtain appropriate legal, regulatory, privacy and operational review before approval.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1. Purpose and scope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This procedure defines how the organisation reports, assesses, contains, investigates and recovers from suspected cyber security incidents. It applies to [systems, data, people, suppliers and locations].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2. Before an incident</w:t>
      </w:r>
    </w:p>
    <w:p>
      <w:pPr>
        <w:spacing w:after="80"/>
        <w:ind w:left="331" w:hanging="230"/>
      </w:pPr>
      <w:r>
        <w:rPr>
          <w:color w:val="23364D"/>
        </w:rPr>
        <w:t>•  Maintain an authorised incident response team, contact list and secure collaboration channel.</w:t>
      </w:r>
    </w:p>
    <w:p>
      <w:pPr>
        <w:spacing w:after="80"/>
        <w:ind w:left="331" w:hanging="230"/>
      </w:pPr>
      <w:r>
        <w:rPr>
          <w:color w:val="23364D"/>
        </w:rPr>
        <w:t>•  Confirm logging, evidence collection, backup restoration and supplier escalation arrangements.</w:t>
      </w:r>
    </w:p>
    <w:p>
      <w:pPr>
        <w:spacing w:after="80"/>
        <w:ind w:left="331" w:hanging="230"/>
      </w:pPr>
      <w:r>
        <w:rPr>
          <w:color w:val="23364D"/>
        </w:rPr>
        <w:t>•  Exercise this procedure and relevant playbooks at [frequency] and track improvements.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3. Severity assessment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  <w:cantSplit/>
        </w:trPr>
        <w:tc>
          <w:tcPr>
            <w:tcW w:type="dxa" w:w="180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Level</w:t>
            </w:r>
          </w:p>
        </w:tc>
        <w:tc>
          <w:tcPr>
            <w:tcW w:type="dxa" w:w="4536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Example impact</w:t>
            </w:r>
          </w:p>
        </w:tc>
        <w:tc>
          <w:tcPr>
            <w:tcW w:type="dxa" w:w="396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Initial response</w:t>
            </w:r>
          </w:p>
        </w:tc>
      </w:tr>
      <w:tr>
        <w:trPr>
          <w:cantSplit/>
        </w:trPr>
        <w:tc>
          <w:tcPr>
            <w:tcW w:type="dxa" w:w="180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1 — Critical</w:t>
            </w:r>
          </w:p>
        </w:tc>
        <w:tc>
          <w:tcPr>
            <w:tcW w:type="dxa" w:w="453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Severe or widespread operational, safety, legal or data impact.</w:t>
            </w:r>
          </w:p>
        </w:tc>
        <w:tc>
          <w:tcPr>
            <w:tcW w:type="dxa" w:w="396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Activate crisis leadership and specialist support immediately.</w:t>
            </w:r>
          </w:p>
        </w:tc>
      </w:tr>
      <w:tr>
        <w:trPr>
          <w:cantSplit/>
        </w:trPr>
        <w:tc>
          <w:tcPr>
            <w:tcW w:type="dxa" w:w="180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2 — High</w:t>
            </w:r>
          </w:p>
        </w:tc>
        <w:tc>
          <w:tcPr>
            <w:tcW w:type="dxa" w:w="453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Significant compromise or disruption with potential to escalate.</w:t>
            </w:r>
          </w:p>
        </w:tc>
        <w:tc>
          <w:tcPr>
            <w:tcW w:type="dxa" w:w="396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Activate the incident team and contain as a priority.</w:t>
            </w:r>
          </w:p>
        </w:tc>
      </w:tr>
      <w:tr>
        <w:trPr>
          <w:cantSplit/>
        </w:trPr>
        <w:tc>
          <w:tcPr>
            <w:tcW w:type="dxa" w:w="180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3 — Moderate</w:t>
            </w:r>
          </w:p>
        </w:tc>
        <w:tc>
          <w:tcPr>
            <w:tcW w:type="dxa" w:w="453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Contained event with limited impact and manageable scope.</w:t>
            </w:r>
          </w:p>
        </w:tc>
        <w:tc>
          <w:tcPr>
            <w:tcW w:type="dxa" w:w="396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Assign an incident lead and investigate promptly.</w:t>
            </w:r>
          </w:p>
        </w:tc>
      </w:tr>
      <w:tr>
        <w:trPr>
          <w:cantSplit/>
        </w:trPr>
        <w:tc>
          <w:tcPr>
            <w:tcW w:type="dxa" w:w="180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4 — Low</w:t>
            </w:r>
          </w:p>
        </w:tc>
        <w:tc>
          <w:tcPr>
            <w:tcW w:type="dxa" w:w="453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Suspicious activity or minor issue with no confirmed impact.</w:t>
            </w:r>
          </w:p>
        </w:tc>
        <w:tc>
          <w:tcPr>
            <w:tcW w:type="dxa" w:w="396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Triage, record and monitor under normal operations.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4. Roles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  <w:cantSplit/>
        </w:trPr>
        <w:tc>
          <w:tcPr>
            <w:tcW w:type="dxa" w:w="288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Role</w:t>
            </w:r>
          </w:p>
        </w:tc>
        <w:tc>
          <w:tcPr>
            <w:tcW w:type="dxa" w:w="7056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Key accountabilities</w:t>
            </w:r>
          </w:p>
        </w:tc>
      </w:tr>
      <w:tr>
        <w:trPr>
          <w:cantSplit/>
        </w:trPr>
        <w:tc>
          <w:tcPr>
            <w:tcW w:type="dxa" w:w="288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Incident commander</w:t>
            </w:r>
          </w:p>
        </w:tc>
        <w:tc>
          <w:tcPr>
            <w:tcW w:type="dxa" w:w="705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Own priorities, decisions, cadence, escalation and closure.</w:t>
            </w:r>
          </w:p>
        </w:tc>
      </w:tr>
      <w:tr>
        <w:trPr>
          <w:cantSplit/>
        </w:trPr>
        <w:tc>
          <w:tcPr>
            <w:tcW w:type="dxa" w:w="288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Technical lead</w:t>
            </w:r>
          </w:p>
        </w:tc>
        <w:tc>
          <w:tcPr>
            <w:tcW w:type="dxa" w:w="705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Direct analysis, containment, eradication, recovery and evidence preservation.</w:t>
            </w:r>
          </w:p>
        </w:tc>
      </w:tr>
      <w:tr>
        <w:trPr>
          <w:cantSplit/>
        </w:trPr>
        <w:tc>
          <w:tcPr>
            <w:tcW w:type="dxa" w:w="288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Business lead</w:t>
            </w:r>
          </w:p>
        </w:tc>
        <w:tc>
          <w:tcPr>
            <w:tcW w:type="dxa" w:w="705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Assess service impact, continuity needs and recovery priorities.</w:t>
            </w:r>
          </w:p>
        </w:tc>
      </w:tr>
      <w:tr>
        <w:trPr>
          <w:cantSplit/>
        </w:trPr>
        <w:tc>
          <w:tcPr>
            <w:tcW w:type="dxa" w:w="288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Communications lead</w:t>
            </w:r>
          </w:p>
        </w:tc>
        <w:tc>
          <w:tcPr>
            <w:tcW w:type="dxa" w:w="705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Coordinate approved internal, customer, media and stakeholder communications.</w:t>
            </w:r>
          </w:p>
        </w:tc>
      </w:tr>
      <w:tr>
        <w:trPr>
          <w:cantSplit/>
        </w:trPr>
        <w:tc>
          <w:tcPr>
            <w:tcW w:type="dxa" w:w="288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Legal / privacy adviser</w:t>
            </w:r>
          </w:p>
        </w:tc>
        <w:tc>
          <w:tcPr>
            <w:tcW w:type="dxa" w:w="705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Advise on privilege, notification, regulatory, contractual and privacy duties.</w:t>
            </w:r>
          </w:p>
        </w:tc>
      </w:tr>
      <w:tr>
        <w:trPr>
          <w:cantSplit/>
        </w:trPr>
        <w:tc>
          <w:tcPr>
            <w:tcW w:type="dxa" w:w="288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Scribe</w:t>
            </w:r>
          </w:p>
        </w:tc>
        <w:tc>
          <w:tcPr>
            <w:tcW w:type="dxa" w:w="705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Maintain the decision log, timeline, actions and evidence references.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5. Report and triage</w:t>
      </w:r>
    </w:p>
    <w:p>
      <w:pPr>
        <w:spacing w:after="100"/>
        <w:ind w:left="403" w:hanging="274"/>
      </w:pPr>
      <w:r>
        <w:rPr>
          <w:color w:val="23364D"/>
        </w:rPr>
        <w:t>1.  Record the reporter, time, affected service or asset, observed indicators and immediate business impact.</w:t>
      </w:r>
    </w:p>
    <w:p>
      <w:pPr>
        <w:spacing w:after="100"/>
        <w:ind w:left="403" w:hanging="274"/>
      </w:pPr>
      <w:r>
        <w:rPr>
          <w:color w:val="23364D"/>
        </w:rPr>
        <w:t>2.  Create incident reference [ID] and open the approved secure coordination channel.</w:t>
      </w:r>
    </w:p>
    <w:p>
      <w:pPr>
        <w:spacing w:after="100"/>
        <w:ind w:left="403" w:hanging="274"/>
      </w:pPr>
      <w:r>
        <w:rPr>
          <w:color w:val="23364D"/>
        </w:rPr>
        <w:t>3.  Confirm whether the event is credible, assign an initial severity and appoint an incident commander.</w:t>
      </w:r>
    </w:p>
    <w:p>
      <w:pPr>
        <w:spacing w:after="100"/>
        <w:ind w:left="403" w:hanging="274"/>
      </w:pPr>
      <w:r>
        <w:rPr>
          <w:color w:val="23364D"/>
        </w:rPr>
        <w:t>4.  Escalate to [contacts] when thresholds for critical services, sensitive information, safety or material disruption are met.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6. Contain</w:t>
      </w:r>
    </w:p>
    <w:p>
      <w:pPr>
        <w:spacing w:after="80"/>
        <w:ind w:left="331" w:hanging="230"/>
      </w:pPr>
      <w:r>
        <w:rPr>
          <w:color w:val="23364D"/>
        </w:rPr>
        <w:t>•  Choose containment actions that balance evidence, operational impact and threat reduction.</w:t>
      </w:r>
    </w:p>
    <w:p>
      <w:pPr>
        <w:spacing w:after="80"/>
        <w:ind w:left="331" w:hanging="230"/>
      </w:pPr>
      <w:r>
        <w:rPr>
          <w:color w:val="23364D"/>
        </w:rPr>
        <w:t>•  Isolate affected devices, accounts, applications or network paths using approved methods.</w:t>
      </w:r>
    </w:p>
    <w:p>
      <w:pPr>
        <w:spacing w:after="80"/>
        <w:ind w:left="331" w:hanging="230"/>
      </w:pPr>
      <w:r>
        <w:rPr>
          <w:color w:val="23364D"/>
        </w:rPr>
        <w:t>•  Protect clean administrative access and preserve a record of every material action and approval.</w:t>
      </w:r>
    </w:p>
    <w:p>
      <w:pPr>
        <w:spacing w:after="80"/>
        <w:ind w:left="331" w:hanging="230"/>
      </w:pPr>
      <w:r>
        <w:rPr>
          <w:color w:val="23364D"/>
        </w:rPr>
        <w:t>•  Engage relevant service providers and insurers through pre-agreed channels where applicable.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7. Investigate and eradicate</w:t>
      </w:r>
    </w:p>
    <w:p>
      <w:pPr>
        <w:spacing w:after="100"/>
        <w:ind w:left="403" w:hanging="274"/>
      </w:pPr>
      <w:r>
        <w:rPr>
          <w:color w:val="23364D"/>
        </w:rPr>
        <w:t>1.  Establish the incident timeline, initial access path, affected identities, systems, data and persistence mechanisms.</w:t>
      </w:r>
    </w:p>
    <w:p>
      <w:pPr>
        <w:spacing w:after="100"/>
        <w:ind w:left="403" w:hanging="274"/>
      </w:pPr>
      <w:r>
        <w:rPr>
          <w:color w:val="23364D"/>
        </w:rPr>
        <w:t>2.  Preserve evidence with source, collector, time, method, hash or reference, storage location and transfer history.</w:t>
      </w:r>
    </w:p>
    <w:p>
      <w:pPr>
        <w:spacing w:after="100"/>
        <w:ind w:left="403" w:hanging="274"/>
      </w:pPr>
      <w:r>
        <w:rPr>
          <w:color w:val="23364D"/>
        </w:rPr>
        <w:t>3.  Remove malicious access, close exploited weaknesses, rotate affected credentials and validate control changes.</w:t>
      </w:r>
    </w:p>
    <w:p>
      <w:pPr>
        <w:spacing w:after="100"/>
        <w:ind w:left="403" w:hanging="274"/>
      </w:pPr>
      <w:r>
        <w:rPr>
          <w:color w:val="23364D"/>
        </w:rPr>
        <w:t>4.  Reassess scope and severity as new evidence emerges; record decision reasons.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8. Communications and notifications</w:t>
      </w:r>
    </w:p>
    <w:p>
      <w:pPr>
        <w:spacing w:after="140" w:line="276" w:lineRule="auto"/>
      </w:pPr>
      <w:r>
        <w:rPr>
          <w:b w:val="0"/>
          <w:i w:val="0"/>
          <w:color w:val="23364D"/>
        </w:rPr>
        <w:t>Use approved facts, named audiences and an agreed update cadence. Legal, privacy, regulatory, contractual and law-enforcement notifications must be assessed by authorised advisers against the incident facts and applicable obligations.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  <w:cantSplit/>
        </w:trPr>
        <w:tc>
          <w:tcPr>
            <w:tcW w:type="dxa" w:w="288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Audience</w:t>
            </w:r>
          </w:p>
        </w:tc>
        <w:tc>
          <w:tcPr>
            <w:tcW w:type="dxa" w:w="2016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Owner</w:t>
            </w:r>
          </w:p>
        </w:tc>
        <w:tc>
          <w:tcPr>
            <w:tcW w:type="dxa" w:w="2304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Channel</w:t>
            </w:r>
          </w:p>
        </w:tc>
        <w:tc>
          <w:tcPr>
            <w:tcW w:type="dxa" w:w="288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Cadence / trigger</w:t>
            </w:r>
          </w:p>
        </w:tc>
      </w:tr>
      <w:tr>
        <w:trPr>
          <w:cantSplit/>
        </w:trPr>
        <w:tc>
          <w:tcPr>
            <w:tcW w:type="dxa" w:w="288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Executive / board</w:t>
            </w:r>
          </w:p>
        </w:tc>
        <w:tc>
          <w:tcPr>
            <w:tcW w:type="dxa" w:w="201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[Owner]</w:t>
            </w:r>
          </w:p>
        </w:tc>
        <w:tc>
          <w:tcPr>
            <w:tcW w:type="dxa" w:w="230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[Channel]</w:t>
            </w:r>
          </w:p>
        </w:tc>
        <w:tc>
          <w:tcPr>
            <w:tcW w:type="dxa" w:w="288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[Trigger]</w:t>
            </w:r>
          </w:p>
        </w:tc>
      </w:tr>
      <w:tr>
        <w:trPr>
          <w:cantSplit/>
        </w:trPr>
        <w:tc>
          <w:tcPr>
            <w:tcW w:type="dxa" w:w="288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Personnel</w:t>
            </w:r>
          </w:p>
        </w:tc>
        <w:tc>
          <w:tcPr>
            <w:tcW w:type="dxa" w:w="201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[Owner]</w:t>
            </w:r>
          </w:p>
        </w:tc>
        <w:tc>
          <w:tcPr>
            <w:tcW w:type="dxa" w:w="2304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[Channel]</w:t>
            </w:r>
          </w:p>
        </w:tc>
        <w:tc>
          <w:tcPr>
            <w:tcW w:type="dxa" w:w="288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[Trigger]</w:t>
            </w:r>
          </w:p>
        </w:tc>
      </w:tr>
      <w:tr>
        <w:trPr>
          <w:cantSplit/>
        </w:trPr>
        <w:tc>
          <w:tcPr>
            <w:tcW w:type="dxa" w:w="288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Customers / partners</w:t>
            </w:r>
          </w:p>
        </w:tc>
        <w:tc>
          <w:tcPr>
            <w:tcW w:type="dxa" w:w="201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[Owner]</w:t>
            </w:r>
          </w:p>
        </w:tc>
        <w:tc>
          <w:tcPr>
            <w:tcW w:type="dxa" w:w="2304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[Channel]</w:t>
            </w:r>
          </w:p>
        </w:tc>
        <w:tc>
          <w:tcPr>
            <w:tcW w:type="dxa" w:w="288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[Trigger]</w:t>
            </w:r>
          </w:p>
        </w:tc>
      </w:tr>
      <w:tr>
        <w:trPr>
          <w:cantSplit/>
        </w:trPr>
        <w:tc>
          <w:tcPr>
            <w:tcW w:type="dxa" w:w="288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Authorities / insurers</w:t>
            </w:r>
          </w:p>
        </w:tc>
        <w:tc>
          <w:tcPr>
            <w:tcW w:type="dxa" w:w="201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[Owner]</w:t>
            </w:r>
          </w:p>
        </w:tc>
        <w:tc>
          <w:tcPr>
            <w:tcW w:type="dxa" w:w="2304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[Channel]</w:t>
            </w:r>
          </w:p>
        </w:tc>
        <w:tc>
          <w:tcPr>
            <w:tcW w:type="dxa" w:w="288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[Trigger]</w:t>
            </w:r>
          </w:p>
        </w:tc>
      </w:tr>
    </w:tbl>
    <w:p>
      <w:pPr>
        <w:spacing w:after="20"/>
      </w:pPr>
    </w:p>
    <w:p>
      <w:pPr>
        <w:pStyle w:val="Heading1"/>
        <w:keepNext/>
        <w:spacing w:before="260" w:after="120"/>
      </w:pPr>
      <w:r>
        <w:rPr>
          <w:b/>
          <w:color w:val="0B2E4F"/>
        </w:rPr>
        <w:t>9. Recover</w:t>
      </w:r>
    </w:p>
    <w:p>
      <w:pPr>
        <w:spacing w:after="100"/>
        <w:ind w:left="403" w:hanging="274"/>
      </w:pPr>
      <w:r>
        <w:rPr>
          <w:color w:val="23364D"/>
        </w:rPr>
        <w:t>1.  Agree recovery priorities and entry criteria with business and technical owners.</w:t>
      </w:r>
    </w:p>
    <w:p>
      <w:pPr>
        <w:spacing w:after="100"/>
        <w:ind w:left="403" w:hanging="274"/>
      </w:pPr>
      <w:r>
        <w:rPr>
          <w:color w:val="23364D"/>
        </w:rPr>
        <w:t>2.  Restore from known-good sources in controlled stages; validate security, integrity and business function.</w:t>
      </w:r>
    </w:p>
    <w:p>
      <w:pPr>
        <w:spacing w:after="100"/>
        <w:ind w:left="403" w:hanging="274"/>
      </w:pPr>
      <w:r>
        <w:rPr>
          <w:color w:val="23364D"/>
        </w:rPr>
        <w:t>3.  Increase monitoring for recurrence and document residual risk, workarounds and deferred remediation.</w:t>
      </w:r>
    </w:p>
    <w:p>
      <w:pPr>
        <w:spacing w:after="100"/>
        <w:ind w:left="403" w:hanging="274"/>
      </w:pPr>
      <w:r>
        <w:rPr>
          <w:color w:val="23364D"/>
        </w:rPr>
        <w:t>4.  Obtain business owner approval before closing emergency recovery activities.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10. Close and learn</w:t>
      </w:r>
    </w:p>
    <w:p>
      <w:pPr>
        <w:spacing w:after="80"/>
        <w:ind w:left="331" w:hanging="230"/>
      </w:pPr>
      <w:r>
        <w:rPr>
          <w:color w:val="23364D"/>
        </w:rPr>
        <w:t>•  Confirm all actions have an owner and due date; transfer remaining work to normal governance.</w:t>
      </w:r>
    </w:p>
    <w:p>
      <w:pPr>
        <w:spacing w:after="80"/>
        <w:ind w:left="331" w:hanging="230"/>
      </w:pPr>
      <w:r>
        <w:rPr>
          <w:color w:val="23364D"/>
        </w:rPr>
        <w:t>•  Complete an after-action review within [timeframe] and identify root causes and control improvements.</w:t>
      </w:r>
    </w:p>
    <w:p>
      <w:pPr>
        <w:spacing w:after="80"/>
        <w:ind w:left="331" w:hanging="230"/>
      </w:pPr>
      <w:r>
        <w:rPr>
          <w:color w:val="23364D"/>
        </w:rPr>
        <w:t>•  Update procedures, playbooks, detections, training and supplier arrangements as needed.</w:t>
      </w:r>
    </w:p>
    <w:p>
      <w:pPr>
        <w:pStyle w:val="Heading1"/>
        <w:keepNext/>
        <w:spacing w:before="260" w:after="120"/>
      </w:pPr>
      <w:r>
        <w:rPr>
          <w:b/>
          <w:color w:val="0B2E4F"/>
        </w:rPr>
        <w:t>11. Incident record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  <w:cantSplit/>
        </w:trPr>
        <w:tc>
          <w:tcPr>
            <w:tcW w:type="dxa" w:w="3816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Field</w:t>
            </w:r>
          </w:p>
        </w:tc>
        <w:tc>
          <w:tcPr>
            <w:tcW w:type="dxa" w:w="6120"/>
            <w:shd w:fill="0B2E4F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after="0"/>
            </w:pPr>
            <w:r>
              <w:rPr>
                <w:b/>
                <w:color w:val="FFFFFF"/>
              </w:rPr>
              <w:t>Record</w:t>
            </w:r>
          </w:p>
        </w:tc>
      </w:tr>
      <w:tr>
        <w:trPr>
          <w:cantSplit/>
        </w:trPr>
        <w:tc>
          <w:tcPr>
            <w:tcW w:type="dxa" w:w="381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Incident ID / severity</w:t>
            </w:r>
          </w:p>
        </w:tc>
        <w:tc>
          <w:tcPr>
            <w:tcW w:type="dxa" w:w="61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[ID / level]</w:t>
            </w:r>
          </w:p>
        </w:tc>
      </w:tr>
      <w:tr>
        <w:trPr>
          <w:cantSplit/>
        </w:trPr>
        <w:tc>
          <w:tcPr>
            <w:tcW w:type="dxa" w:w="381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Start / detection / closure time</w:t>
            </w:r>
          </w:p>
        </w:tc>
        <w:tc>
          <w:tcPr>
            <w:tcW w:type="dxa" w:w="61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[Timestamps and time zone]</w:t>
            </w:r>
          </w:p>
        </w:tc>
      </w:tr>
      <w:tr>
        <w:trPr>
          <w:cantSplit/>
        </w:trPr>
        <w:tc>
          <w:tcPr>
            <w:tcW w:type="dxa" w:w="381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Systems, identities and data affected</w:t>
            </w:r>
          </w:p>
        </w:tc>
        <w:tc>
          <w:tcPr>
            <w:tcW w:type="dxa" w:w="61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[Scope summary]</w:t>
            </w:r>
          </w:p>
        </w:tc>
      </w:tr>
      <w:tr>
        <w:trPr>
          <w:cantSplit/>
        </w:trPr>
        <w:tc>
          <w:tcPr>
            <w:tcW w:type="dxa" w:w="381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Key decisions and approvals</w:t>
            </w:r>
          </w:p>
        </w:tc>
        <w:tc>
          <w:tcPr>
            <w:tcW w:type="dxa" w:w="61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[Decision-log reference]</w:t>
            </w:r>
          </w:p>
        </w:tc>
      </w:tr>
      <w:tr>
        <w:trPr>
          <w:cantSplit/>
        </w:trPr>
        <w:tc>
          <w:tcPr>
            <w:tcW w:type="dxa" w:w="3816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Evidence location</w:t>
            </w:r>
          </w:p>
        </w:tc>
        <w:tc>
          <w:tcPr>
            <w:tcW w:type="dxa" w:w="6120"/>
            <w:shd w:fill="DCEAF5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[Repository / custodian]</w:t>
            </w:r>
          </w:p>
        </w:tc>
      </w:tr>
      <w:tr>
        <w:trPr>
          <w:cantSplit/>
        </w:trPr>
        <w:tc>
          <w:tcPr>
            <w:tcW w:type="dxa" w:w="3816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Follow-up actions</w:t>
            </w:r>
          </w:p>
        </w:tc>
        <w:tc>
          <w:tcPr>
            <w:tcW w:type="dxa" w:w="6120"/>
            <w:shd w:fill="F3F7FA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</w:tcPr>
          <w:p>
            <w:pPr>
              <w:spacing w:after="0"/>
            </w:pPr>
            <w:r>
              <w:rPr>
                <w:color w:val="23364D"/>
              </w:rPr>
              <w:t>[Owner / due date / status]</w:t>
            </w:r>
          </w:p>
        </w:tc>
      </w:tr>
    </w:tbl>
    <w:p>
      <w:pPr>
        <w:spacing w:after="20"/>
      </w:pPr>
    </w:p>
    <w:sectPr>
      <w:headerReference r:id="rId10" w:type="default"/>
      <w:headerReference r:id="rId11" w:type="first"/>
      <w:footerReference r:id="rId12" w:type="default"/>
      <w:footerReference r:id="rId13" w:type="first"/>
      <w:pgSz w:h="15840" w:w="12240" w:orient="portrait"/>
      <w:pgMar w:bottom="893" w:top="1008" w:left="1008" w:right="1008" w:header="720" w:footer="720"/>
      <w:pgNumType w:start="1"/>
      <w:titlePg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 Ligh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6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5b7085"/>
        <w:sz w:val="20"/>
        <w:szCs w:val="20"/>
        <w:u w:val="none"/>
        <w:shd w:fill="auto" w:val="clear"/>
        <w:vertAlign w:val="baseline"/>
      </w:rPr>
    </w:pPr>
    <w:r>
      <w:rPr>
        <w:color w:val="5E738A"/>
        <w:sz w:val="16"/>
      </w:rPr>
      <w:t>Metbridge Cyber | Sample Template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9">
    <w:pPr>
      <w:jc w:val="center"/>
      <w:rPr/>
    </w:pPr>
    <w:r>
      <w:rPr>
        <w:color w:val="5E738A"/>
        <w:sz w:val="16"/>
      </w:rPr>
      <w:t>Metbridge Cyber | Sample Template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14:paraId="000000F5">
      <w:pPr>
        <w:spacing w:after="0" w:line="270" w:lineRule="auto"/>
        <w:jc w:val="both"/>
        <w:rPr/>
      </w:pPr>
      <w:r>
        <w:rPr>
          <w:rStyle w:val="FootnoteReference"/>
          <w:vertAlign w:val="superscript"/>
        </w:rPr>
        <w:footnoteRef/>
      </w:r>
      <w:r>
        <w:rPr>
          <w:color w:val="233447"/>
          <w:rtl w:val="0"/>
        </w:rPr>
        <w:t xml:space="preserve"> Use footnotes for definitions, assumptions, or terms that need precision without interrupting the main narrative.</w:t>
      </w:r>
      <w:r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6">
    <w:pPr>
      <w:rPr/>
    </w:pPr>
    <w:r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14:paraId="000000F8">
    <w:pPr>
      <w:rPr/>
    </w:pPr>
    <w:r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3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)"/>
      <w:lvlJc w:val="left"/>
      <w:pPr>
        <w:ind w:left="720" w:hanging="360"/>
      </w:pPr>
      <w:rPr/>
    </w:lvl>
    <w:lvl w:ilvl="2">
      <w:start w:val="1"/>
      <w:numFmt w:val="lowerRoman"/>
      <w:lvlText w:val="%3)"/>
      <w:lvlJc w:val="left"/>
      <w:pPr>
        <w:ind w:left="1080" w:hanging="360"/>
      </w:pPr>
      <w:rPr/>
    </w:lvl>
    <w:lvl w:ilvl="3">
      <w:start w:val="1"/>
      <w:numFmt w:val="decimal"/>
      <w:lvlText w:val="(%4)"/>
      <w:lvlJc w:val="left"/>
      <w:pPr>
        <w:ind w:left="1440" w:hanging="360"/>
      </w:pPr>
      <w:rPr/>
    </w:lvl>
    <w:lvl w:ilvl="4">
      <w:start w:val="1"/>
      <w:numFmt w:val="lowerLetter"/>
      <w:lvlText w:val="(%5)"/>
      <w:lvlJc w:val="left"/>
      <w:pPr>
        <w:ind w:left="1800" w:hanging="360"/>
      </w:pPr>
      <w:rPr/>
    </w:lvl>
    <w:lvl w:ilvl="5">
      <w:start w:val="1"/>
      <w:numFmt w:val="lowerRoman"/>
      <w:lvlText w:val="(%6)"/>
      <w:lvlJc w:val="left"/>
      <w:pPr>
        <w:ind w:left="2160" w:hanging="360"/>
      </w:pPr>
      <w:rPr/>
    </w:lvl>
    <w:lvl w:ilvl="6">
      <w:start w:val="1"/>
      <w:numFmt w:val="decimal"/>
      <w:lvlText w:val="%7."/>
      <w:lvlJc w:val="left"/>
      <w:pPr>
        <w:ind w:left="2520" w:hanging="360"/>
      </w:pPr>
      <w:rPr/>
    </w:lvl>
    <w:lvl w:ilvl="7">
      <w:start w:val="1"/>
      <w:numFmt w:val="lowerLetter"/>
      <w:lvlText w:val="%8."/>
      <w:lvlJc w:val="left"/>
      <w:pPr>
        <w:ind w:left="2880" w:hanging="360"/>
      </w:pPr>
      <w:rPr/>
    </w:lvl>
    <w:lvl w:ilvl="8">
      <w:start w:val="1"/>
      <w:numFmt w:val="lowerRoman"/>
      <w:lvlText w:val="%9."/>
      <w:lvlJc w:val="left"/>
      <w:pPr>
        <w:ind w:left="3240" w:hanging="360"/>
      </w:pPr>
      <w:rPr/>
    </w:lvl>
  </w:abstractNum>
  <w:abstractNum w:abstractNumId="4">
    <w:lvl w:ilvl="0">
      <w:start w:val="1"/>
      <w:numFmt w:val="lowerLetter"/>
      <w:lvlText w:val="%1."/>
      <w:lvlJc w:val="left"/>
      <w:pPr>
        <w:ind w:left="360" w:hanging="360"/>
      </w:pPr>
      <w:rPr/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233447"/>
        <w:lang w:val="en"/>
      </w:rPr>
    </w:rPrDefault>
    <w:pPrDefault>
      <w:pPr>
        <w:spacing w:after="110"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  <w:pPr>
      <w:spacing w:after="140" w:line="276" w:lineRule="auto"/>
    </w:pPr>
    <w:rPr>
      <w:rFonts w:ascii="Helvetica Neue" w:hAnsi="Helvetica Neue"/>
      <w:color w:val="23364D"/>
      <w:sz w:val="21"/>
    </w:rPr>
  </w:style>
  <w:style w:type="paragraph" w:styleId="Heading1">
    <w:name w:val="heading 1"/>
    <w:basedOn w:val="Normal"/>
    <w:next w:val="Normal"/>
    <w:pPr>
      <w:keepNext w:val="1"/>
      <w:keepLines w:val="1"/>
      <w:pBdr>
        <w:top w:color="2f6b9a" w:space="2" w:sz="0" w:val="none"/>
        <w:left w:color="2f6b9a" w:space="2" w:sz="0" w:val="none"/>
        <w:bottom w:color="2f6b9a" w:space="2" w:sz="0" w:val="none"/>
        <w:right w:color="2f6b9a" w:space="2" w:sz="0" w:val="none"/>
      </w:pBdr>
      <w:spacing w:after="130" w:line="285" w:lineRule="auto"/>
    </w:pPr>
    <w:rPr>
      <w:rFonts w:ascii="Helvetica Neue" w:hAnsi="Helvetica Neue"/>
      <w:b/>
      <w:bCs w:val="1"/>
      <w:color w:val="0B2E4F"/>
      <w:sz w:val="36"/>
      <w:szCs w:val="27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smallCaps w:val="1"/>
      <w:color w:val="082a4a"/>
      <w:sz w:val="19"/>
      <w:szCs w:val="19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rFonts w:ascii="Helvetica Neue" w:cs="Helvetica Neue" w:eastAsia="Helvetica Neue" w:hAnsi="Helvetica Neue"/>
      <w:b/>
      <w:bCs w:val="1"/>
      <w:color w:val="0B2E4F"/>
      <w:sz w:val="2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082a4a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082a4a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082a4a"/>
    </w:rPr>
  </w:style>
  <w:style w:type="paragraph" w:styleId="Title">
    <w:name w:val="Title"/>
    <w:basedOn w:val="Normal"/>
    <w:next w:val="Normal"/>
    <w:pPr>
      <w:spacing w:after="150" w:lineRule="auto"/>
    </w:pPr>
    <w:rPr>
      <w:rFonts w:ascii="Helvetica Neue" w:hAnsi="Helvetica Neue"/>
      <w:b/>
      <w:bCs w:val="1"/>
      <w:color w:val="0B2E4F"/>
      <w:sz w:val="68"/>
      <w:szCs w:val="44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082a4a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'1.0' encoding='UTF-8' standalone='yes'?>
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example.com/system-design/contracts" TargetMode="Externa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8" Type="http://schemas.openxmlformats.org/officeDocument/2006/relationships/image" Target="media/image1.png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HelveticaNeueLight-regular.ttf"/><Relationship Id="rId6" Type="http://schemas.openxmlformats.org/officeDocument/2006/relationships/font" Target="fonts/HelveticaNeueLight-bold.ttf"/><Relationship Id="rId7" Type="http://schemas.openxmlformats.org/officeDocument/2006/relationships/font" Target="fonts/HelveticaNeueLight-italic.ttf"/><Relationship Id="rId8" Type="http://schemas.openxmlformats.org/officeDocument/2006/relationships/font" Target="fonts/HelveticaNeueLigh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Incident Response Procedure Template</dc:title>
  <cp:lastModifiedBy>Metbridge Pty Ltd</cp:lastModifiedBy>
  <cp:revision>1</cp:revision>
  <dcterms:modified xsi:type="dcterms:W3CDTF">2026-09-05T00:53:13Z</dcterms:modified>
  <dc:subject>Editable sample cyber security template</dc:subject>
  <dc:creator>Metbridge Pty Ltd</dc:creator>
  <dc:description/>
  <cp:keywords>cyber security, template, governance</cp:keywords>
</cp:coreProperties>
</file>