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HelveticaNeue-bold.ttf" ContentType="application/x-font-ttf"/>
  <Override PartName="/word/fonts/HelveticaNeue-boldItalic.ttf" ContentType="application/x-font-ttf"/>
  <Override PartName="/word/fonts/HelveticaNeue-italic.ttf" ContentType="application/x-font-ttf"/>
  <Override PartName="/word/fonts/HelveticaNeue-regular.ttf" ContentType="application/x-font-ttf"/>
  <Override PartName="/word/fonts/HelveticaNeueLight-bold.ttf" ContentType="application/x-font-ttf"/>
  <Override PartName="/word/fonts/HelveticaNeueLight-boldItalic.ttf" ContentType="application/x-font-ttf"/>
  <Override PartName="/word/fonts/HelveticaNeueLight-italic.ttf" ContentType="application/x-font-ttf"/>
  <Override PartName="/word/fonts/HelveticaNeueLight-regular.ttf" ContentType="application/x-font-ttf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>
      <w:pPr>
        <w:spacing w:before="2376" w:after="200"/>
      </w:pPr>
      <w:r>
        <w:rPr>
          <w:color w:val="5E738A"/>
          <w:sz w:val="56"/>
        </w:rPr>
        <w:t>METBRIDGE CYBER — SAMPLE RESOURCE</w:t>
      </w:r>
    </w:p>
    <w:p>
      <w:pPr>
        <w:pStyle w:val="Title"/>
        <w:spacing w:after="3096"/>
      </w:pPr>
      <w:r>
        <w:rPr>
          <w:b/>
          <w:color w:val="0B2E4F"/>
          <w:sz w:val="68"/>
        </w:rPr>
        <w:t>Ransomware Response Playbook Template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STATUS</w:t>
            </w:r>
          </w:p>
        </w:tc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OWNER</w:t>
            </w:r>
          </w:p>
        </w:tc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LAST UPDATED</w:t>
            </w:r>
          </w:p>
        </w:tc>
      </w:tr>
      <w:tr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Sample / Draft</w:t>
            </w:r>
          </w:p>
        </w:tc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[Organisation / Owner]</w:t>
            </w:r>
          </w:p>
        </w:tc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[DD Month YYYY]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Document type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Playbook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Approved by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[Name / role]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Review cycle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[Annual / event-driven / other]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Scope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[Suspected ransomware, encryption, extortion or destructive malware events]</w:t>
            </w:r>
          </w:p>
        </w:tc>
      </w:tr>
    </w:tbl>
    <w:p>
      <w:r>
        <w:br w:type="page"/>
      </w:r>
    </w:p>
    <w:p>
      <w:pPr>
        <w:spacing w:after="80" w:line="276" w:lineRule="auto"/>
      </w:pPr>
      <w:r>
        <w:rPr>
          <w:b/>
          <w:i w:val="0"/>
          <w:color w:val="0B2E4F"/>
        </w:rPr>
        <w:t>How to use this sample</w:t>
      </w:r>
    </w:p>
    <w:p>
      <w:pPr>
        <w:spacing w:after="240" w:line="276" w:lineRule="auto"/>
      </w:pPr>
      <w:r>
        <w:rPr>
          <w:b w:val="0"/>
          <w:i/>
          <w:color w:val="5E738A"/>
        </w:rPr>
        <w:t>This sample is a practical starting point. Replace bracketed fields, align the content with your organisation’s risk profile and technology environment, and obtain appropriate legal, regulatory, privacy and operational review before approval.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1. Activation criteria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Activate this playbook when ransomware, unauthorised encryption, an extortion note, destructive malware, or credible related activity is suspected. Treat the event as time-critical and link it to the organisation’s incident response procedure.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2. First 30 minutes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144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Priority</w:t>
            </w:r>
          </w:p>
        </w:tc>
        <w:tc>
          <w:tcPr>
            <w:tcW w:type="dxa" w:w="6552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01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Owner / record</w:t>
            </w:r>
          </w:p>
        </w:tc>
      </w:tr>
      <w:tr>
        <w:trPr>
          <w:cantSplit/>
        </w:trPr>
        <w:tc>
          <w:tcPr>
            <w:tcW w:type="dxa" w:w="144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Protect</w:t>
            </w:r>
          </w:p>
        </w:tc>
        <w:tc>
          <w:tcPr>
            <w:tcW w:type="dxa" w:w="655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Isolate affected devices or network segments using approved methods; do not power off unless directed.</w:t>
            </w:r>
          </w:p>
        </w:tc>
        <w:tc>
          <w:tcPr>
            <w:tcW w:type="dxa" w:w="20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[Technical lead / time]</w:t>
            </w:r>
          </w:p>
        </w:tc>
      </w:tr>
      <w:tr>
        <w:trPr>
          <w:cantSplit/>
        </w:trPr>
        <w:tc>
          <w:tcPr>
            <w:tcW w:type="dxa" w:w="144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Escalate</w:t>
            </w:r>
          </w:p>
        </w:tc>
        <w:tc>
          <w:tcPr>
            <w:tcW w:type="dxa" w:w="6552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Contact the incident commander, executive lead, legal/privacy adviser and retained specialists.</w:t>
            </w:r>
          </w:p>
        </w:tc>
        <w:tc>
          <w:tcPr>
            <w:tcW w:type="dxa" w:w="20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[Caller / time]</w:t>
            </w:r>
          </w:p>
        </w:tc>
      </w:tr>
      <w:tr>
        <w:trPr>
          <w:cantSplit/>
        </w:trPr>
        <w:tc>
          <w:tcPr>
            <w:tcW w:type="dxa" w:w="144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Preserve</w:t>
            </w:r>
          </w:p>
        </w:tc>
        <w:tc>
          <w:tcPr>
            <w:tcW w:type="dxa" w:w="655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Protect logs, alerts, ransom notes and volatile evidence; record every containment action.</w:t>
            </w:r>
          </w:p>
        </w:tc>
        <w:tc>
          <w:tcPr>
            <w:tcW w:type="dxa" w:w="20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[Evidence custodian]</w:t>
            </w:r>
          </w:p>
        </w:tc>
      </w:tr>
      <w:tr>
        <w:trPr>
          <w:cantSplit/>
        </w:trPr>
        <w:tc>
          <w:tcPr>
            <w:tcW w:type="dxa" w:w="144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Secure</w:t>
            </w:r>
          </w:p>
        </w:tc>
        <w:tc>
          <w:tcPr>
            <w:tcW w:type="dxa" w:w="6552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Establish clean administrative access and an out-of-band coordination channel.</w:t>
            </w:r>
          </w:p>
        </w:tc>
        <w:tc>
          <w:tcPr>
            <w:tcW w:type="dxa" w:w="20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[Identity lead]</w:t>
            </w:r>
          </w:p>
        </w:tc>
      </w:tr>
      <w:tr>
        <w:trPr>
          <w:cantSplit/>
        </w:trPr>
        <w:tc>
          <w:tcPr>
            <w:tcW w:type="dxa" w:w="144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Assess</w:t>
            </w:r>
          </w:p>
        </w:tc>
        <w:tc>
          <w:tcPr>
            <w:tcW w:type="dxa" w:w="655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Identify affected services, identities, backups, safety impacts and business disruption.</w:t>
            </w:r>
          </w:p>
        </w:tc>
        <w:tc>
          <w:tcPr>
            <w:tcW w:type="dxa" w:w="20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[Incident commander]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3. Command structure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288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705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Immediate responsibility</w:t>
            </w:r>
          </w:p>
        </w:tc>
      </w:tr>
      <w:tr>
        <w:trPr>
          <w:cantSplit/>
        </w:trPr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Incident commander</w:t>
            </w:r>
          </w:p>
        </w:tc>
        <w:tc>
          <w:tcPr>
            <w:tcW w:type="dxa" w:w="70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Set objectives, approve high-impact actions and maintain decision cadence.</w:t>
            </w:r>
          </w:p>
        </w:tc>
      </w:tr>
      <w:tr>
        <w:trPr>
          <w:cantSplit/>
        </w:trPr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Technical / forensic lead</w:t>
            </w:r>
          </w:p>
        </w:tc>
        <w:tc>
          <w:tcPr>
            <w:tcW w:type="dxa" w:w="70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Determine scope, contain threat activity, preserve evidence and direct remediation.</w:t>
            </w:r>
          </w:p>
        </w:tc>
      </w:tr>
      <w:tr>
        <w:trPr>
          <w:cantSplit/>
        </w:trPr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Identity lead</w:t>
            </w:r>
          </w:p>
        </w:tc>
        <w:tc>
          <w:tcPr>
            <w:tcW w:type="dxa" w:w="70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Protect privileged access, disable compromised identities and coordinate credential resets.</w:t>
            </w:r>
          </w:p>
        </w:tc>
      </w:tr>
      <w:tr>
        <w:trPr>
          <w:cantSplit/>
        </w:trPr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Recovery lead</w:t>
            </w:r>
          </w:p>
        </w:tc>
        <w:tc>
          <w:tcPr>
            <w:tcW w:type="dxa" w:w="70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Validate backup integrity and sequence safe restoration with business owners.</w:t>
            </w:r>
          </w:p>
        </w:tc>
      </w:tr>
      <w:tr>
        <w:trPr>
          <w:cantSplit/>
        </w:trPr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Legal / privacy lead</w:t>
            </w:r>
          </w:p>
        </w:tc>
        <w:tc>
          <w:tcPr>
            <w:tcW w:type="dxa" w:w="70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Guide privilege, notifications, law-enforcement, contractual and extortion considerations.</w:t>
            </w:r>
          </w:p>
        </w:tc>
      </w:tr>
      <w:tr>
        <w:trPr>
          <w:cantSplit/>
        </w:trPr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Communications lead</w:t>
            </w:r>
          </w:p>
        </w:tc>
        <w:tc>
          <w:tcPr>
            <w:tcW w:type="dxa" w:w="70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Prepare approved messages for personnel, customers, partners and media.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4. Scope the incident</w:t>
      </w:r>
    </w:p>
    <w:p>
      <w:pPr>
        <w:spacing w:after="80"/>
        <w:ind w:left="331" w:hanging="230"/>
      </w:pPr>
      <w:r>
        <w:rPr>
          <w:color w:val="23364D"/>
        </w:rPr>
        <w:t>•  Identify the earliest known malicious activity and affected accounts, endpoints, servers, cloud services and locations.</w:t>
      </w:r>
    </w:p>
    <w:p>
      <w:pPr>
        <w:spacing w:after="80"/>
        <w:ind w:left="331" w:hanging="230"/>
      </w:pPr>
      <w:r>
        <w:rPr>
          <w:color w:val="23364D"/>
        </w:rPr>
        <w:t>•  Determine whether data may have been accessed, staged, exfiltrated, altered or destroyed.</w:t>
      </w:r>
    </w:p>
    <w:p>
      <w:pPr>
        <w:spacing w:after="80"/>
        <w:ind w:left="331" w:hanging="230"/>
      </w:pPr>
      <w:r>
        <w:rPr>
          <w:color w:val="23364D"/>
        </w:rPr>
        <w:t>•  Assess impacts to safety, critical services, customers, suppliers and regulated information.</w:t>
      </w:r>
    </w:p>
    <w:p>
      <w:pPr>
        <w:spacing w:after="80"/>
        <w:ind w:left="331" w:hanging="230"/>
      </w:pPr>
      <w:r>
        <w:rPr>
          <w:color w:val="23364D"/>
        </w:rPr>
        <w:t>•  Identify likely initial access, persistence, lateral movement and command-and-control paths.</w:t>
      </w:r>
    </w:p>
    <w:p>
      <w:pPr>
        <w:spacing w:after="80"/>
        <w:ind w:left="331" w:hanging="230"/>
      </w:pPr>
      <w:r>
        <w:rPr>
          <w:color w:val="23364D"/>
        </w:rPr>
        <w:t>•  Revalidate scope continuously; record confidence and evidence for each conclusion.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5. Contain and protect identity</w:t>
      </w:r>
    </w:p>
    <w:p>
      <w:pPr>
        <w:spacing w:after="100"/>
        <w:ind w:left="403" w:hanging="274"/>
      </w:pPr>
      <w:r>
        <w:rPr>
          <w:color w:val="23364D"/>
        </w:rPr>
        <w:t>1.  Block confirmed malicious indicators and isolate affected zones without destroying evidence.</w:t>
      </w:r>
    </w:p>
    <w:p>
      <w:pPr>
        <w:spacing w:after="100"/>
        <w:ind w:left="403" w:hanging="274"/>
      </w:pPr>
      <w:r>
        <w:rPr>
          <w:color w:val="23364D"/>
        </w:rPr>
        <w:t>2.  Protect backup infrastructure, management planes, security tooling and other recovery dependencies.</w:t>
      </w:r>
    </w:p>
    <w:p>
      <w:pPr>
        <w:spacing w:after="100"/>
        <w:ind w:left="403" w:hanging="274"/>
      </w:pPr>
      <w:r>
        <w:rPr>
          <w:color w:val="23364D"/>
        </w:rPr>
        <w:t>3.  Disable confirmed compromised accounts and revoke active sessions or tokens.</w:t>
      </w:r>
    </w:p>
    <w:p>
      <w:pPr>
        <w:spacing w:after="100"/>
        <w:ind w:left="403" w:hanging="274"/>
      </w:pPr>
      <w:r>
        <w:rPr>
          <w:color w:val="23364D"/>
        </w:rPr>
        <w:t>4.  Rotate credentials in a planned order from a known-clean control point, prioritising privileged, service and recovery accounts.</w:t>
      </w:r>
    </w:p>
    <w:p>
      <w:pPr>
        <w:spacing w:after="100"/>
        <w:ind w:left="403" w:hanging="274"/>
      </w:pPr>
      <w:r>
        <w:rPr>
          <w:color w:val="23364D"/>
        </w:rPr>
        <w:t>5.  Apply emergency controls and patches only with documented approval, testing and rollback considerations.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6. Extortion decision gate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Do not communicate with the threat actor or make commitments unless authorised. Executive leadership must make any engagement or payment decision with legal, insurance, law-enforcement, sanctions, safety, operational and ethical advice. Payment does not guarantee recovery or non-disclosure.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432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Decision input</w:t>
            </w:r>
          </w:p>
        </w:tc>
        <w:tc>
          <w:tcPr>
            <w:tcW w:type="dxa" w:w="216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345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Evidence / status</w:t>
            </w:r>
          </w:p>
        </w:tc>
      </w:tr>
      <w:tr>
        <w:trPr>
          <w:cantSplit/>
        </w:trPr>
        <w:tc>
          <w:tcPr>
            <w:tcW w:type="dxa" w:w="43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Safe recovery options and timing</w:t>
            </w:r>
          </w:p>
        </w:tc>
        <w:tc>
          <w:tcPr>
            <w:tcW w:type="dxa" w:w="216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Recovery lead</w:t>
            </w:r>
          </w:p>
        </w:tc>
        <w:tc>
          <w:tcPr>
            <w:tcW w:type="dxa" w:w="34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[Assessment]</w:t>
            </w:r>
          </w:p>
        </w:tc>
      </w:tr>
      <w:tr>
        <w:trPr>
          <w:cantSplit/>
        </w:trPr>
        <w:tc>
          <w:tcPr>
            <w:tcW w:type="dxa" w:w="43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Data exposure and notification assessment</w:t>
            </w:r>
          </w:p>
        </w:tc>
        <w:tc>
          <w:tcPr>
            <w:tcW w:type="dxa" w:w="216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Legal / privacy</w:t>
            </w:r>
          </w:p>
        </w:tc>
        <w:tc>
          <w:tcPr>
            <w:tcW w:type="dxa" w:w="34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[Assessment]</w:t>
            </w:r>
          </w:p>
        </w:tc>
      </w:tr>
      <w:tr>
        <w:trPr>
          <w:cantSplit/>
        </w:trPr>
        <w:tc>
          <w:tcPr>
            <w:tcW w:type="dxa" w:w="43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Insurance and specialist conditions</w:t>
            </w:r>
          </w:p>
        </w:tc>
        <w:tc>
          <w:tcPr>
            <w:tcW w:type="dxa" w:w="216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Risk / legal</w:t>
            </w:r>
          </w:p>
        </w:tc>
        <w:tc>
          <w:tcPr>
            <w:tcW w:type="dxa" w:w="34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[Assessment]</w:t>
            </w:r>
          </w:p>
        </w:tc>
      </w:tr>
      <w:tr>
        <w:trPr>
          <w:cantSplit/>
        </w:trPr>
        <w:tc>
          <w:tcPr>
            <w:tcW w:type="dxa" w:w="43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Sanctions and law-enforcement advice</w:t>
            </w:r>
          </w:p>
        </w:tc>
        <w:tc>
          <w:tcPr>
            <w:tcW w:type="dxa" w:w="216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Legal</w:t>
            </w:r>
          </w:p>
        </w:tc>
        <w:tc>
          <w:tcPr>
            <w:tcW w:type="dxa" w:w="34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[Assessment]</w:t>
            </w:r>
          </w:p>
        </w:tc>
      </w:tr>
      <w:tr>
        <w:trPr>
          <w:cantSplit/>
        </w:trPr>
        <w:tc>
          <w:tcPr>
            <w:tcW w:type="dxa" w:w="43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Business, safety and stakeholder impact</w:t>
            </w:r>
          </w:p>
        </w:tc>
        <w:tc>
          <w:tcPr>
            <w:tcW w:type="dxa" w:w="216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Executive lead</w:t>
            </w:r>
          </w:p>
        </w:tc>
        <w:tc>
          <w:tcPr>
            <w:tcW w:type="dxa" w:w="34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[Assessment]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7. Communications and notifications</w:t>
      </w:r>
    </w:p>
    <w:p>
      <w:pPr>
        <w:spacing w:after="80"/>
        <w:ind w:left="331" w:hanging="230"/>
      </w:pPr>
      <w:r>
        <w:rPr>
          <w:color w:val="23364D"/>
        </w:rPr>
        <w:t>•  Use a single approved factsheet and clearly separate confirmed facts from assumptions.</w:t>
      </w:r>
    </w:p>
    <w:p>
      <w:pPr>
        <w:spacing w:after="80"/>
        <w:ind w:left="331" w:hanging="230"/>
      </w:pPr>
      <w:r>
        <w:rPr>
          <w:color w:val="23364D"/>
        </w:rPr>
        <w:t>•  Set an update cadence and provide actionable instructions to personnel and affected stakeholders.</w:t>
      </w:r>
    </w:p>
    <w:p>
      <w:pPr>
        <w:spacing w:after="80"/>
        <w:ind w:left="331" w:hanging="230"/>
      </w:pPr>
      <w:r>
        <w:rPr>
          <w:color w:val="23364D"/>
        </w:rPr>
        <w:t>•  Assess regulatory, privacy, contractual, insurance and law-enforcement notifications against applicable requirements.</w:t>
      </w:r>
    </w:p>
    <w:p>
      <w:pPr>
        <w:spacing w:after="80"/>
        <w:ind w:left="331" w:hanging="230"/>
      </w:pPr>
      <w:r>
        <w:rPr>
          <w:color w:val="23364D"/>
        </w:rPr>
        <w:t>•  Protect sensitive investigative detail and legal privilege where advised.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8. Eradicate and recover</w:t>
      </w:r>
    </w:p>
    <w:p>
      <w:pPr>
        <w:spacing w:after="100"/>
        <w:ind w:left="403" w:hanging="274"/>
      </w:pPr>
      <w:r>
        <w:rPr>
          <w:color w:val="23364D"/>
        </w:rPr>
        <w:t>1.  Define known-good criteria for identities, devices, applications, data and backup sets.</w:t>
      </w:r>
    </w:p>
    <w:p>
      <w:pPr>
        <w:spacing w:after="100"/>
        <w:ind w:left="403" w:hanging="274"/>
      </w:pPr>
      <w:r>
        <w:rPr>
          <w:color w:val="23364D"/>
        </w:rPr>
        <w:t>2.  Remove persistence and exploited weaknesses; rebuild systems where confidence cannot be established.</w:t>
      </w:r>
    </w:p>
    <w:p>
      <w:pPr>
        <w:spacing w:after="100"/>
        <w:ind w:left="403" w:hanging="274"/>
      </w:pPr>
      <w:r>
        <w:rPr>
          <w:color w:val="23364D"/>
        </w:rPr>
        <w:t>3.  Restore in business-approved waves, beginning with identity, security, communications and critical dependencies.</w:t>
      </w:r>
    </w:p>
    <w:p>
      <w:pPr>
        <w:spacing w:after="100"/>
        <w:ind w:left="403" w:hanging="274"/>
      </w:pPr>
      <w:r>
        <w:rPr>
          <w:color w:val="23364D"/>
        </w:rPr>
        <w:t>4.  Validate security controls, data integrity, performance and business function before each production release.</w:t>
      </w:r>
    </w:p>
    <w:p>
      <w:pPr>
        <w:spacing w:after="100"/>
        <w:ind w:left="403" w:hanging="274"/>
      </w:pPr>
      <w:r>
        <w:rPr>
          <w:color w:val="23364D"/>
        </w:rPr>
        <w:t>5.  Monitor intensively for recurrence and retain isolation or compensating controls until risk is accepted.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  <w:cantSplit/>
        </w:trPr>
        <w:tc>
          <w:tcPr>
            <w:tcW w:type="dxa" w:w="1872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Recovery wave</w:t>
            </w:r>
          </w:p>
        </w:tc>
        <w:tc>
          <w:tcPr>
            <w:tcW w:type="dxa" w:w="345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Services / dependencies</w:t>
            </w:r>
          </w:p>
        </w:tc>
        <w:tc>
          <w:tcPr>
            <w:tcW w:type="dxa" w:w="2592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Entry criteria</w:t>
            </w:r>
          </w:p>
        </w:tc>
        <w:tc>
          <w:tcPr>
            <w:tcW w:type="dxa" w:w="2088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Approval</w:t>
            </w:r>
          </w:p>
        </w:tc>
      </w:tr>
      <w:tr>
        <w:trPr>
          <w:cantSplit/>
        </w:trPr>
        <w:tc>
          <w:tcPr>
            <w:tcW w:type="dxa" w:w="187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0 — Foundation</w:t>
            </w:r>
          </w:p>
        </w:tc>
        <w:tc>
          <w:tcPr>
            <w:tcW w:type="dxa" w:w="34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Identity, security tools, clean admin access</w:t>
            </w:r>
          </w:p>
        </w:tc>
        <w:tc>
          <w:tcPr>
            <w:tcW w:type="dxa" w:w="259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[Criteria]</w:t>
            </w:r>
          </w:p>
        </w:tc>
        <w:tc>
          <w:tcPr>
            <w:tcW w:type="dxa" w:w="2088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[Approver]</w:t>
            </w:r>
          </w:p>
        </w:tc>
      </w:tr>
      <w:tr>
        <w:trPr>
          <w:cantSplit/>
        </w:trPr>
        <w:tc>
          <w:tcPr>
            <w:tcW w:type="dxa" w:w="1872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1 — Critical</w:t>
            </w:r>
          </w:p>
        </w:tc>
        <w:tc>
          <w:tcPr>
            <w:tcW w:type="dxa" w:w="34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[Critical services]</w:t>
            </w:r>
          </w:p>
        </w:tc>
        <w:tc>
          <w:tcPr>
            <w:tcW w:type="dxa" w:w="2592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[Criteria]</w:t>
            </w:r>
          </w:p>
        </w:tc>
        <w:tc>
          <w:tcPr>
            <w:tcW w:type="dxa" w:w="2088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[Approver]</w:t>
            </w:r>
          </w:p>
        </w:tc>
      </w:tr>
      <w:tr>
        <w:trPr>
          <w:cantSplit/>
        </w:trPr>
        <w:tc>
          <w:tcPr>
            <w:tcW w:type="dxa" w:w="187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2 — Priority</w:t>
            </w:r>
          </w:p>
        </w:tc>
        <w:tc>
          <w:tcPr>
            <w:tcW w:type="dxa" w:w="34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[Priority services]</w:t>
            </w:r>
          </w:p>
        </w:tc>
        <w:tc>
          <w:tcPr>
            <w:tcW w:type="dxa" w:w="259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[Criteria]</w:t>
            </w:r>
          </w:p>
        </w:tc>
        <w:tc>
          <w:tcPr>
            <w:tcW w:type="dxa" w:w="2088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[Approver]</w:t>
            </w:r>
          </w:p>
        </w:tc>
      </w:tr>
      <w:tr>
        <w:trPr>
          <w:cantSplit/>
        </w:trPr>
        <w:tc>
          <w:tcPr>
            <w:tcW w:type="dxa" w:w="1872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3 — Remaining</w:t>
            </w:r>
          </w:p>
        </w:tc>
        <w:tc>
          <w:tcPr>
            <w:tcW w:type="dxa" w:w="34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[Remaining services]</w:t>
            </w:r>
          </w:p>
        </w:tc>
        <w:tc>
          <w:tcPr>
            <w:tcW w:type="dxa" w:w="2592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[Criteria]</w:t>
            </w:r>
          </w:p>
        </w:tc>
        <w:tc>
          <w:tcPr>
            <w:tcW w:type="dxa" w:w="2088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[Approver]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9. Evidence and decision log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  <w:cantSplit/>
        </w:trPr>
        <w:tc>
          <w:tcPr>
            <w:tcW w:type="dxa" w:w="180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Time</w:t>
            </w:r>
          </w:p>
        </w:tc>
        <w:tc>
          <w:tcPr>
            <w:tcW w:type="dxa" w:w="3528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Action / decision</w:t>
            </w:r>
          </w:p>
        </w:tc>
        <w:tc>
          <w:tcPr>
            <w:tcW w:type="dxa" w:w="216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52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Evidence / reason</w:t>
            </w:r>
          </w:p>
        </w:tc>
      </w:tr>
      <w:tr>
        <w:trPr>
          <w:cantSplit/>
        </w:trPr>
        <w:tc>
          <w:tcPr>
            <w:tcW w:type="dxa" w:w="180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[Time zone]</w:t>
            </w:r>
          </w:p>
        </w:tc>
        <w:tc>
          <w:tcPr>
            <w:tcW w:type="dxa" w:w="3528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[Action or decision]</w:t>
            </w:r>
          </w:p>
        </w:tc>
        <w:tc>
          <w:tcPr>
            <w:tcW w:type="dxa" w:w="216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[Name / role]</w:t>
            </w:r>
          </w:p>
        </w:tc>
        <w:tc>
          <w:tcPr>
            <w:tcW w:type="dxa" w:w="25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[Reference / rationale]</w:t>
            </w:r>
          </w:p>
        </w:tc>
      </w:tr>
      <w:tr>
        <w:trPr>
          <w:cantSplit/>
        </w:trPr>
        <w:tc>
          <w:tcPr>
            <w:tcW w:type="dxa" w:w="180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[Time zone]</w:t>
            </w:r>
          </w:p>
        </w:tc>
        <w:tc>
          <w:tcPr>
            <w:tcW w:type="dxa" w:w="3528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[Action or decision]</w:t>
            </w:r>
          </w:p>
        </w:tc>
        <w:tc>
          <w:tcPr>
            <w:tcW w:type="dxa" w:w="216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[Name / role]</w:t>
            </w:r>
          </w:p>
        </w:tc>
        <w:tc>
          <w:tcPr>
            <w:tcW w:type="dxa" w:w="25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[Reference / rationale]</w:t>
            </w:r>
          </w:p>
        </w:tc>
      </w:tr>
      <w:tr>
        <w:trPr>
          <w:cantSplit/>
        </w:trPr>
        <w:tc>
          <w:tcPr>
            <w:tcW w:type="dxa" w:w="180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[Time zone]</w:t>
            </w:r>
          </w:p>
        </w:tc>
        <w:tc>
          <w:tcPr>
            <w:tcW w:type="dxa" w:w="3528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[Action or decision]</w:t>
            </w:r>
          </w:p>
        </w:tc>
        <w:tc>
          <w:tcPr>
            <w:tcW w:type="dxa" w:w="216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[Name / role]</w:t>
            </w:r>
          </w:p>
        </w:tc>
        <w:tc>
          <w:tcPr>
            <w:tcW w:type="dxa" w:w="25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[Reference / rationale]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10. Stand-down and after-action</w:t>
      </w:r>
    </w:p>
    <w:p>
      <w:pPr>
        <w:spacing w:after="80"/>
        <w:ind w:left="331" w:hanging="230"/>
      </w:pPr>
      <w:r>
        <w:rPr>
          <w:color w:val="23364D"/>
        </w:rPr>
        <w:t>•  Obtain incident commander and business owner approval to leave emergency response mode.</w:t>
      </w:r>
    </w:p>
    <w:p>
      <w:pPr>
        <w:spacing w:after="80"/>
        <w:ind w:left="331" w:hanging="230"/>
      </w:pPr>
      <w:r>
        <w:rPr>
          <w:color w:val="23364D"/>
        </w:rPr>
        <w:t>•  Confirm monitoring, residual risk, temporary controls and outstanding actions have owners and dates.</w:t>
      </w:r>
    </w:p>
    <w:p>
      <w:pPr>
        <w:spacing w:after="80"/>
        <w:ind w:left="331" w:hanging="230"/>
      </w:pPr>
      <w:r>
        <w:rPr>
          <w:color w:val="23364D"/>
        </w:rPr>
        <w:t>•  Complete legal and records-management holds before disposing of evidence or working material.</w:t>
      </w:r>
    </w:p>
    <w:p>
      <w:pPr>
        <w:spacing w:after="80"/>
        <w:ind w:left="331" w:hanging="230"/>
      </w:pPr>
      <w:r>
        <w:rPr>
          <w:color w:val="23364D"/>
        </w:rPr>
        <w:t>•  Run an after-action review within [timeframe] and update controls, playbooks, training and supplier arrangements.</w:t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5840" w:w="12240" w:orient="portrait"/>
      <w:pgMar w:bottom="893" w:top="1008" w:left="1008" w:right="1008" w:header="720" w:footer="720"/>
      <w:pgNumType w:start="1"/>
      <w:titlePg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6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b7085"/>
        <w:sz w:val="20"/>
        <w:szCs w:val="20"/>
        <w:u w:val="none"/>
        <w:shd w:fill="auto" w:val="clear"/>
        <w:vertAlign w:val="baseline"/>
      </w:rPr>
    </w:pPr>
    <w:r>
      <w:rPr>
        <w:color w:val="5E738A"/>
        <w:sz w:val="16"/>
      </w:rPr>
      <w:t>Metbridge Cyber | Sample Template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9">
    <w:pPr>
      <w:jc w:val="center"/>
      <w:rPr/>
    </w:pPr>
    <w:r>
      <w:rPr>
        <w:color w:val="5E738A"/>
        <w:sz w:val="16"/>
      </w:rPr>
      <w:t>Metbridge Cyber | Sample Template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14:paraId="000000F5">
      <w:pPr>
        <w:spacing w:after="0" w:line="270" w:lineRule="auto"/>
        <w:jc w:val="both"/>
        <w:rPr/>
      </w:pPr>
      <w:r>
        <w:rPr>
          <w:rStyle w:val="FootnoteReference"/>
          <w:vertAlign w:val="superscript"/>
        </w:rPr>
        <w:footnoteRef/>
      </w:r>
      <w:r>
        <w:rPr>
          <w:color w:val="233447"/>
          <w:rtl w:val="0"/>
        </w:rPr>
        <w:t xml:space="preserve"> Use footnotes for definitions, assumptions, or terms that need precision without interrupting the main narrative.</w:t>
      </w:r>
      <w:r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6">
    <w:pPr>
      <w:rPr/>
    </w:pPr>
    <w:r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8">
    <w:pPr>
      <w:rPr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33447"/>
        <w:lang w:val="en"/>
      </w:rPr>
    </w:rPrDefault>
    <w:pPrDefault>
      <w:pPr>
        <w:spacing w:after="110"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  <w:pPr>
      <w:spacing w:after="100" w:line="264" w:lineRule="auto"/>
    </w:pPr>
    <w:rPr>
      <w:rFonts w:ascii="Helvetica Neue" w:hAnsi="Helvetica Neue"/>
      <w:color w:val="23364D"/>
      <w:sz w:val="20"/>
    </w:rPr>
  </w:style>
  <w:style w:type="paragraph" w:styleId="Heading1">
    <w:name w:val="heading 1"/>
    <w:basedOn w:val="Normal"/>
    <w:next w:val="Normal"/>
    <w:pPr>
      <w:keepNext w:val="1"/>
      <w:keepLines w:val="1"/>
      <w:pBdr>
        <w:top w:color="2f6b9a" w:space="2" w:sz="0" w:val="none"/>
        <w:left w:color="2f6b9a" w:space="2" w:sz="0" w:val="none"/>
        <w:bottom w:color="2f6b9a" w:space="2" w:sz="0" w:val="none"/>
        <w:right w:color="2f6b9a" w:space="2" w:sz="0" w:val="none"/>
      </w:pBdr>
      <w:spacing w:after="130" w:line="285" w:lineRule="auto"/>
    </w:pPr>
    <w:rPr>
      <w:rFonts w:ascii="Helvetica Neue" w:hAnsi="Helvetica Neue"/>
      <w:b/>
      <w:bCs w:val="1"/>
      <w:color w:val="0B2E4F"/>
      <w:sz w:val="34"/>
      <w:szCs w:val="27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smallCaps w:val="1"/>
      <w:color w:val="082a4a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Helvetica Neue" w:cs="Helvetica Neue" w:eastAsia="Helvetica Neue" w:hAnsi="Helvetica Neue"/>
      <w:b/>
      <w:bCs w:val="1"/>
      <w:color w:val="0B2E4F"/>
      <w:sz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082a4a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082a4a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082a4a"/>
    </w:rPr>
  </w:style>
  <w:style w:type="paragraph" w:styleId="Title">
    <w:name w:val="Title"/>
    <w:basedOn w:val="Normal"/>
    <w:next w:val="Normal"/>
    <w:pPr>
      <w:spacing w:after="150" w:lineRule="auto"/>
    </w:pPr>
    <w:rPr>
      <w:rFonts w:ascii="Helvetica Neue" w:hAnsi="Helvetica Neue"/>
      <w:b/>
      <w:bCs w:val="1"/>
      <w:color w:val="0B2E4F"/>
      <w:sz w:val="68"/>
      <w:szCs w:val="44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082a4a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'1.0' encoding='UTF-8' standalone='yes'?>
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xample.com/system-design/contracts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8" Type="http://schemas.openxmlformats.org/officeDocument/2006/relationships/image" Target="media/image1.png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Ransomware Response Playbook Template</dc:title>
  <cp:lastModifiedBy>Metbridge Pty Ltd</cp:lastModifiedBy>
  <cp:revision>1</cp:revision>
  <dcterms:modified xsi:type="dcterms:W3CDTF">2026-09-05T00:53:14Z</dcterms:modified>
  <dc:subject>Editable sample cyber security template</dc:subject>
  <dc:creator>Metbridge Pty Ltd</dc:creator>
  <dc:description/>
  <cp:keywords>cyber security, template, governance</cp:keywords>
</cp:coreProperties>
</file>