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HelveticaNeue-bold.ttf" ContentType="application/x-font-ttf"/>
  <Override PartName="/word/fonts/HelveticaNeue-boldItalic.ttf" ContentType="application/x-font-ttf"/>
  <Override PartName="/word/fonts/HelveticaNeue-italic.ttf" ContentType="application/x-font-ttf"/>
  <Override PartName="/word/fonts/HelveticaNeue-regular.ttf" ContentType="application/x-font-ttf"/>
  <Override PartName="/word/fonts/HelveticaNeueLight-bold.ttf" ContentType="application/x-font-ttf"/>
  <Override PartName="/word/fonts/HelveticaNeueLight-boldItalic.ttf" ContentType="application/x-font-ttf"/>
  <Override PartName="/word/fonts/HelveticaNeueLight-italic.ttf" ContentType="application/x-font-ttf"/>
  <Override PartName="/word/fonts/HelveticaNeueLight-regular.ttf" ContentType="application/x-font-ttf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>
      <w:pPr>
        <w:spacing w:before="2376" w:after="200"/>
      </w:pPr>
      <w:r>
        <w:rPr>
          <w:color w:val="5E738A"/>
          <w:sz w:val="56"/>
        </w:rPr>
        <w:t>METBRIDGE CYBER — SAMPLE RESOURCE</w:t>
      </w:r>
    </w:p>
    <w:p>
      <w:pPr>
        <w:pStyle w:val="Title"/>
        <w:spacing w:after="3096"/>
      </w:pPr>
      <w:r>
        <w:rPr>
          <w:b/>
          <w:color w:val="0B2E4F"/>
          <w:sz w:val="68"/>
        </w:rPr>
        <w:t>Secure Remote Access Work Instruction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rPr>
          <w:tblHeader w:val="true"/>
        </w:trPr>
        <w:tc>
          <w:tcPr>
            <w:tcW w:type="dxa" w:w="3408"/>
            <w:tcMar>
              <w:top w:w="50" w:type="dxa"/>
              <w:start w:w="25" w:type="dxa"/>
              <w:bottom w:w="10" w:type="dxa"/>
              <w:end w:w="25" w:type="dxa"/>
            </w:tcMar>
          </w:tcPr>
          <w:p>
            <w:pPr>
              <w:spacing w:after="0"/>
            </w:pPr>
            <w:r>
              <w:rPr>
                <w:b/>
                <w:color w:val="5E738A"/>
                <w:sz w:val="20"/>
              </w:rPr>
              <w:t>STATUS</w:t>
            </w:r>
          </w:p>
        </w:tc>
        <w:tc>
          <w:tcPr>
            <w:tcW w:type="dxa" w:w="3408"/>
            <w:tcMar>
              <w:top w:w="50" w:type="dxa"/>
              <w:start w:w="25" w:type="dxa"/>
              <w:bottom w:w="10" w:type="dxa"/>
              <w:end w:w="25" w:type="dxa"/>
            </w:tcMar>
          </w:tcPr>
          <w:p>
            <w:pPr>
              <w:spacing w:after="0"/>
            </w:pPr>
            <w:r>
              <w:rPr>
                <w:b/>
                <w:color w:val="5E738A"/>
                <w:sz w:val="20"/>
              </w:rPr>
              <w:t>OWNER</w:t>
            </w:r>
          </w:p>
        </w:tc>
        <w:tc>
          <w:tcPr>
            <w:tcW w:type="dxa" w:w="3408"/>
            <w:tcMar>
              <w:top w:w="50" w:type="dxa"/>
              <w:start w:w="25" w:type="dxa"/>
              <w:bottom w:w="10" w:type="dxa"/>
              <w:end w:w="25" w:type="dxa"/>
            </w:tcMar>
          </w:tcPr>
          <w:p>
            <w:pPr>
              <w:spacing w:after="0"/>
            </w:pPr>
            <w:r>
              <w:rPr>
                <w:b/>
                <w:color w:val="5E738A"/>
                <w:sz w:val="20"/>
              </w:rPr>
              <w:t>LAST UPDATED</w:t>
            </w:r>
          </w:p>
        </w:tc>
      </w:tr>
      <w:tr>
        <w:tc>
          <w:tcPr>
            <w:tcW w:type="dxa" w:w="3408"/>
            <w:tcMar>
              <w:top w:w="20" w:type="dxa"/>
              <w:start w:w="25" w:type="dxa"/>
              <w:bottom w:w="80" w:type="dxa"/>
              <w:end w:w="25" w:type="dxa"/>
            </w:tcMar>
          </w:tcPr>
          <w:p>
            <w:pPr>
              <w:spacing w:after="0"/>
            </w:pPr>
            <w:r>
              <w:rPr>
                <w:color w:val="23364D"/>
                <w:sz w:val="20"/>
              </w:rPr>
              <w:t>Sample / Draft</w:t>
            </w:r>
          </w:p>
        </w:tc>
        <w:tc>
          <w:tcPr>
            <w:tcW w:type="dxa" w:w="3408"/>
            <w:tcMar>
              <w:top w:w="20" w:type="dxa"/>
              <w:start w:w="25" w:type="dxa"/>
              <w:bottom w:w="80" w:type="dxa"/>
              <w:end w:w="25" w:type="dxa"/>
            </w:tcMar>
          </w:tcPr>
          <w:p>
            <w:pPr>
              <w:spacing w:after="0"/>
            </w:pPr>
            <w:r>
              <w:rPr>
                <w:color w:val="23364D"/>
                <w:sz w:val="20"/>
              </w:rPr>
              <w:t>[Organisation / Owner]</w:t>
            </w:r>
          </w:p>
        </w:tc>
        <w:tc>
          <w:tcPr>
            <w:tcW w:type="dxa" w:w="3408"/>
            <w:tcMar>
              <w:top w:w="20" w:type="dxa"/>
              <w:start w:w="25" w:type="dxa"/>
              <w:bottom w:w="80" w:type="dxa"/>
              <w:end w:w="25" w:type="dxa"/>
            </w:tcMar>
          </w:tcPr>
          <w:p>
            <w:pPr>
              <w:spacing w:after="0"/>
            </w:pPr>
            <w:r>
              <w:rPr>
                <w:color w:val="23364D"/>
                <w:sz w:val="20"/>
              </w:rPr>
              <w:t>[DD Month YYYY]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rPr>
          <w:tblHeader w:val="true"/>
        </w:trPr>
        <w:tc>
          <w:tcPr>
            <w:tcW w:type="dxa" w:w="1944"/>
            <w:shd w:fill="C8DDED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b/>
                <w:color w:val="23364D"/>
              </w:rPr>
              <w:t>Document type</w:t>
            </w:r>
          </w:p>
        </w:tc>
        <w:tc>
          <w:tcPr>
            <w:tcW w:type="dxa" w:w="7920"/>
            <w:shd w:fill="F3F7F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color w:val="23364D"/>
              </w:rPr>
              <w:t>Work instruction</w:t>
            </w:r>
          </w:p>
        </w:tc>
      </w:tr>
      <w:tr>
        <w:tc>
          <w:tcPr>
            <w:tcW w:type="dxa" w:w="1944"/>
            <w:shd w:fill="C8DDED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b/>
                <w:color w:val="23364D"/>
              </w:rPr>
              <w:t>Approved by</w:t>
            </w:r>
          </w:p>
        </w:tc>
        <w:tc>
          <w:tcPr>
            <w:tcW w:type="dxa" w:w="7920"/>
            <w:shd w:fill="F3F7F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color w:val="23364D"/>
              </w:rPr>
              <w:t>[Name / role]</w:t>
            </w:r>
          </w:p>
        </w:tc>
      </w:tr>
      <w:tr>
        <w:tc>
          <w:tcPr>
            <w:tcW w:type="dxa" w:w="1944"/>
            <w:shd w:fill="C8DDED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b/>
                <w:color w:val="23364D"/>
              </w:rPr>
              <w:t>Review cycle</w:t>
            </w:r>
          </w:p>
        </w:tc>
        <w:tc>
          <w:tcPr>
            <w:tcW w:type="dxa" w:w="7920"/>
            <w:shd w:fill="F3F7F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color w:val="23364D"/>
              </w:rPr>
              <w:t>[Annual / event-driven / other]</w:t>
            </w:r>
          </w:p>
        </w:tc>
      </w:tr>
      <w:tr>
        <w:tc>
          <w:tcPr>
            <w:tcW w:type="dxa" w:w="1944"/>
            <w:shd w:fill="C8DDED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b/>
                <w:color w:val="23364D"/>
              </w:rPr>
              <w:t>Scope</w:t>
            </w:r>
          </w:p>
        </w:tc>
        <w:tc>
          <w:tcPr>
            <w:tcW w:type="dxa" w:w="7920"/>
            <w:shd w:fill="F3F7F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color w:val="23364D"/>
              </w:rPr>
              <w:t>[Personnel and third parties connecting remotely to organisational systems]</w:t>
            </w:r>
          </w:p>
        </w:tc>
      </w:tr>
    </w:tbl>
    <w:p>
      <w:r>
        <w:br w:type="page"/>
      </w:r>
    </w:p>
    <w:p>
      <w:pPr>
        <w:spacing w:after="80" w:line="276" w:lineRule="auto"/>
      </w:pPr>
      <w:r>
        <w:rPr>
          <w:b/>
          <w:i w:val="0"/>
          <w:color w:val="0B2E4F"/>
        </w:rPr>
        <w:t>How to use this sample</w:t>
      </w:r>
    </w:p>
    <w:p>
      <w:pPr>
        <w:spacing w:after="240" w:line="276" w:lineRule="auto"/>
      </w:pPr>
      <w:r>
        <w:rPr>
          <w:b w:val="0"/>
          <w:i/>
          <w:color w:val="5E738A"/>
        </w:rPr>
        <w:t>This sample is a practical starting point. Replace bracketed fields, align the content with your organisation’s risk profile and technology environment, and obtain appropriate legal, regulatory, privacy and operational review before approval.</w:t>
      </w:r>
    </w:p>
    <w:p>
      <w:pPr>
        <w:pStyle w:val="Heading1"/>
        <w:keepNext/>
        <w:spacing w:before="260" w:after="120"/>
      </w:pPr>
      <w:r>
        <w:rPr>
          <w:b/>
          <w:color w:val="0B2E4F"/>
        </w:rPr>
        <w:t>1. Purpose</w:t>
      </w:r>
    </w:p>
    <w:p>
      <w:pPr>
        <w:spacing w:after="140" w:line="276" w:lineRule="auto"/>
      </w:pPr>
      <w:r>
        <w:rPr>
          <w:b w:val="0"/>
          <w:i w:val="0"/>
          <w:color w:val="23364D"/>
        </w:rPr>
        <w:t>Use this instruction to establish, use and close a remote session securely through the organisation’s approved access service.</w:t>
      </w:r>
    </w:p>
    <w:p>
      <w:pPr>
        <w:pStyle w:val="Heading1"/>
        <w:keepNext/>
        <w:spacing w:before="260" w:after="120"/>
      </w:pPr>
      <w:r>
        <w:rPr>
          <w:b/>
          <w:color w:val="0B2E4F"/>
        </w:rPr>
        <w:t>2. Preconditions</w:t>
      </w:r>
    </w:p>
    <w:p>
      <w:pPr>
        <w:spacing w:after="80"/>
        <w:ind w:left="331" w:hanging="230"/>
      </w:pPr>
      <w:r>
        <w:rPr>
          <w:color w:val="23364D"/>
        </w:rPr>
        <w:t>•  Access request [ticket / approval] is current and covers the required system and privilege level.</w:t>
      </w:r>
    </w:p>
    <w:p>
      <w:pPr>
        <w:spacing w:after="80"/>
        <w:ind w:left="331" w:hanging="230"/>
      </w:pPr>
      <w:r>
        <w:rPr>
          <w:color w:val="23364D"/>
        </w:rPr>
        <w:t>•  The user has an individual account and approved multi-factor authentication method.</w:t>
      </w:r>
    </w:p>
    <w:p>
      <w:pPr>
        <w:spacing w:after="80"/>
        <w:ind w:left="331" w:hanging="230"/>
      </w:pPr>
      <w:r>
        <w:rPr>
          <w:color w:val="23364D"/>
        </w:rPr>
        <w:t>•  The device is organisation-managed or otherwise approved, encrypted, supported, patched and running required security tools.</w:t>
      </w:r>
    </w:p>
    <w:p>
      <w:pPr>
        <w:spacing w:after="80"/>
        <w:ind w:left="331" w:hanging="230"/>
      </w:pPr>
      <w:r>
        <w:rPr>
          <w:color w:val="23364D"/>
        </w:rPr>
        <w:t>•  The user has a trusted network connection and a private location suitable for the information being accessed.</w:t>
      </w:r>
    </w:p>
    <w:p>
      <w:pPr>
        <w:pStyle w:val="Heading1"/>
        <w:keepNext/>
        <w:spacing w:before="260" w:after="120"/>
      </w:pPr>
      <w:r>
        <w:rPr>
          <w:b/>
          <w:color w:val="0B2E4F"/>
        </w:rPr>
        <w:t>3. Request or change access</w:t>
      </w:r>
    </w:p>
    <w:p>
      <w:pPr>
        <w:spacing w:after="100"/>
        <w:ind w:left="403" w:hanging="274"/>
      </w:pPr>
      <w:r>
        <w:rPr>
          <w:color w:val="23364D"/>
        </w:rPr>
        <w:t>1.  Submit [request form] with user, manager, system, business need, access level, start date and expiry date.</w:t>
      </w:r>
    </w:p>
    <w:p>
      <w:pPr>
        <w:spacing w:after="100"/>
        <w:ind w:left="403" w:hanging="274"/>
      </w:pPr>
      <w:r>
        <w:rPr>
          <w:color w:val="23364D"/>
        </w:rPr>
        <w:t>2.  Obtain approval from the user’s manager and the relevant system or information owner.</w:t>
      </w:r>
    </w:p>
    <w:p>
      <w:pPr>
        <w:spacing w:after="100"/>
        <w:ind w:left="403" w:hanging="274"/>
      </w:pPr>
      <w:r>
        <w:rPr>
          <w:color w:val="23364D"/>
        </w:rPr>
        <w:t>3.  Security or IT provisions the minimum required access and records the approval reference.</w:t>
      </w:r>
    </w:p>
    <w:p>
      <w:pPr>
        <w:spacing w:after="100"/>
        <w:ind w:left="403" w:hanging="274"/>
      </w:pPr>
      <w:r>
        <w:rPr>
          <w:color w:val="23364D"/>
        </w:rPr>
        <w:t>4.  Confirm access with the user through an approved channel; do not send passwords or secrets in the ticket.</w:t>
      </w:r>
    </w:p>
    <w:p>
      <w:pPr>
        <w:pStyle w:val="Heading1"/>
        <w:keepNext/>
        <w:spacing w:before="260" w:after="120"/>
      </w:pPr>
      <w:r>
        <w:rPr>
          <w:b/>
          <w:color w:val="0B2E4F"/>
        </w:rPr>
        <w:t>4. Start a remote session</w:t>
      </w:r>
    </w:p>
    <w:p>
      <w:pPr>
        <w:spacing w:after="100"/>
        <w:ind w:left="403" w:hanging="274"/>
      </w:pPr>
      <w:r>
        <w:rPr>
          <w:color w:val="23364D"/>
        </w:rPr>
        <w:t>1.  Move to a private workspace and prevent unauthorised viewing or listening.</w:t>
      </w:r>
    </w:p>
    <w:p>
      <w:pPr>
        <w:spacing w:after="100"/>
        <w:ind w:left="403" w:hanging="274"/>
      </w:pPr>
      <w:r>
        <w:rPr>
          <w:color w:val="23364D"/>
        </w:rPr>
        <w:t>2.  Connect the device to a trusted network. Avoid unknown or open wireless networks; if unavoidable, use [approved hotspot / guidance].</w:t>
      </w:r>
    </w:p>
    <w:p>
      <w:pPr>
        <w:spacing w:after="100"/>
        <w:ind w:left="403" w:hanging="274"/>
      </w:pPr>
      <w:r>
        <w:rPr>
          <w:color w:val="23364D"/>
        </w:rPr>
        <w:t>3.  Open [approved remote access client or portal] from the official application or saved address.</w:t>
      </w:r>
    </w:p>
    <w:p>
      <w:pPr>
        <w:spacing w:after="100"/>
        <w:ind w:left="403" w:hanging="274"/>
      </w:pPr>
      <w:r>
        <w:rPr>
          <w:color w:val="23364D"/>
        </w:rPr>
        <w:t>4.  Sign in with your individual account and complete multi-factor authentication. Never approve an unexpected prompt.</w:t>
      </w:r>
    </w:p>
    <w:p>
      <w:pPr>
        <w:spacing w:after="100"/>
        <w:ind w:left="403" w:hanging="274"/>
      </w:pPr>
      <w:r>
        <w:rPr>
          <w:color w:val="23364D"/>
        </w:rPr>
        <w:t>5.  Confirm the connection status shows [approved indicator] before opening organisational applications.</w:t>
      </w:r>
    </w:p>
    <w:p>
      <w:pPr>
        <w:spacing w:after="100"/>
        <w:ind w:left="403" w:hanging="274"/>
      </w:pPr>
      <w:r>
        <w:rPr>
          <w:color w:val="23364D"/>
        </w:rPr>
        <w:t>6.  For administrative work, start the approved privileged session and record [ticket / reason] when prompted.</w:t>
      </w:r>
    </w:p>
    <w:p>
      <w:pPr>
        <w:pStyle w:val="Heading1"/>
        <w:keepNext/>
        <w:spacing w:before="260" w:after="120"/>
      </w:pPr>
      <w:r>
        <w:rPr>
          <w:b/>
          <w:color w:val="0B2E4F"/>
        </w:rPr>
        <w:t>5. Work securely during the session</w:t>
      </w:r>
    </w:p>
    <w:p>
      <w:pPr>
        <w:spacing w:after="80"/>
        <w:ind w:left="331" w:hanging="230"/>
      </w:pPr>
      <w:r>
        <w:rPr>
          <w:color w:val="23364D"/>
        </w:rPr>
        <w:t>•  Use only the systems and data authorised for the approved task.</w:t>
      </w:r>
    </w:p>
    <w:p>
      <w:pPr>
        <w:spacing w:after="80"/>
        <w:ind w:left="331" w:hanging="230"/>
      </w:pPr>
      <w:r>
        <w:rPr>
          <w:color w:val="23364D"/>
        </w:rPr>
        <w:t>•  Do not copy organisational information to personal storage, email, messaging, printers or removable media.</w:t>
      </w:r>
    </w:p>
    <w:p>
      <w:pPr>
        <w:spacing w:after="80"/>
        <w:ind w:left="331" w:hanging="230"/>
      </w:pPr>
      <w:r>
        <w:rPr>
          <w:color w:val="23364D"/>
        </w:rPr>
        <w:t>•  Use [approved file-transfer method] when transfer is authorised and scan files as required.</w:t>
      </w:r>
    </w:p>
    <w:p>
      <w:pPr>
        <w:spacing w:after="80"/>
        <w:ind w:left="331" w:hanging="230"/>
      </w:pPr>
      <w:r>
        <w:rPr>
          <w:color w:val="23364D"/>
        </w:rPr>
        <w:t>•  Lock the screen whenever unattended and end the session if device or account compromise is suspected.</w:t>
      </w:r>
    </w:p>
    <w:p>
      <w:pPr>
        <w:spacing w:after="80"/>
        <w:ind w:left="331" w:hanging="230"/>
      </w:pPr>
      <w:r>
        <w:rPr>
          <w:color w:val="23364D"/>
        </w:rPr>
        <w:t>•  Do not bypass security warnings or disable endpoint, logging or remote-access controls.</w:t>
      </w:r>
    </w:p>
    <w:p>
      <w:pPr>
        <w:pStyle w:val="Heading1"/>
        <w:keepNext/>
        <w:spacing w:before="260" w:after="120"/>
      </w:pPr>
      <w:r>
        <w:rPr>
          <w:b/>
          <w:color w:val="0B2E4F"/>
        </w:rPr>
        <w:t>6. End the session</w:t>
      </w:r>
    </w:p>
    <w:p>
      <w:pPr>
        <w:spacing w:after="100"/>
        <w:ind w:left="403" w:hanging="274"/>
      </w:pPr>
      <w:r>
        <w:rPr>
          <w:color w:val="23364D"/>
        </w:rPr>
        <w:t>1.  Save work to the approved organisational location and close applications.</w:t>
      </w:r>
    </w:p>
    <w:p>
      <w:pPr>
        <w:spacing w:after="100"/>
        <w:ind w:left="403" w:hanging="274"/>
      </w:pPr>
      <w:r>
        <w:rPr>
          <w:color w:val="23364D"/>
        </w:rPr>
        <w:t>2.  Sign out of privileged and business sessions; do not simply close the window.</w:t>
      </w:r>
    </w:p>
    <w:p>
      <w:pPr>
        <w:spacing w:after="100"/>
        <w:ind w:left="403" w:hanging="274"/>
      </w:pPr>
      <w:r>
        <w:rPr>
          <w:color w:val="23364D"/>
        </w:rPr>
        <w:t>3.  Disconnect [remote access client] and confirm the connection indicator is inactive.</w:t>
      </w:r>
    </w:p>
    <w:p>
      <w:pPr>
        <w:spacing w:after="100"/>
        <w:ind w:left="403" w:hanging="274"/>
      </w:pPr>
      <w:r>
        <w:rPr>
          <w:color w:val="23364D"/>
        </w:rPr>
        <w:t>4.  Remove temporary authorised downloads in accordance with handling and retention requirements.</w:t>
      </w:r>
    </w:p>
    <w:p>
      <w:pPr>
        <w:spacing w:after="100"/>
        <w:ind w:left="403" w:hanging="274"/>
      </w:pPr>
      <w:r>
        <w:rPr>
          <w:color w:val="23364D"/>
        </w:rPr>
        <w:t>5.  Record task completion or unexpected activity in [ticket / work record].</w:t>
      </w:r>
    </w:p>
    <w:p>
      <w:pPr>
        <w:pStyle w:val="Heading1"/>
        <w:keepNext/>
        <w:spacing w:before="260" w:after="120"/>
      </w:pPr>
      <w:r>
        <w:rPr>
          <w:b/>
          <w:color w:val="0B2E4F"/>
        </w:rPr>
        <w:t>7. Stop and report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rPr>
          <w:tblHeader w:val="true"/>
          <w:cantSplit/>
        </w:trPr>
        <w:tc>
          <w:tcPr>
            <w:tcW w:type="dxa" w:w="3816"/>
            <w:shd w:fill="0B2E4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Condition</w:t>
            </w:r>
          </w:p>
        </w:tc>
        <w:tc>
          <w:tcPr>
            <w:tcW w:type="dxa" w:w="6120"/>
            <w:shd w:fill="0B2E4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Required action</w:t>
            </w:r>
          </w:p>
        </w:tc>
      </w:tr>
      <w:tr>
        <w:trPr>
          <w:cantSplit/>
        </w:trPr>
        <w:tc>
          <w:tcPr>
            <w:tcW w:type="dxa" w:w="3816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Unexpected MFA prompt</w:t>
            </w:r>
          </w:p>
        </w:tc>
        <w:tc>
          <w:tcPr>
            <w:tcW w:type="dxa" w:w="6120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Deny it, stop sign-in attempts and report immediately through [channel].</w:t>
            </w:r>
          </w:p>
        </w:tc>
      </w:tr>
      <w:tr>
        <w:trPr>
          <w:cantSplit/>
        </w:trPr>
        <w:tc>
          <w:tcPr>
            <w:tcW w:type="dxa" w:w="3816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Device lost, stolen or suspected compromised</w:t>
            </w:r>
          </w:p>
        </w:tc>
        <w:tc>
          <w:tcPr>
            <w:tcW w:type="dxa" w:w="6120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Disconnect if safe, contact [service desk / security] and follow instructions.</w:t>
            </w:r>
          </w:p>
        </w:tc>
      </w:tr>
      <w:tr>
        <w:trPr>
          <w:cantSplit/>
        </w:trPr>
        <w:tc>
          <w:tcPr>
            <w:tcW w:type="dxa" w:w="3816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Remote client warns of certificate or identity issue</w:t>
            </w:r>
          </w:p>
        </w:tc>
        <w:tc>
          <w:tcPr>
            <w:tcW w:type="dxa" w:w="6120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Do not proceed; capture the message and contact [support].</w:t>
            </w:r>
          </w:p>
        </w:tc>
      </w:tr>
      <w:tr>
        <w:trPr>
          <w:cantSplit/>
        </w:trPr>
        <w:tc>
          <w:tcPr>
            <w:tcW w:type="dxa" w:w="3816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Access is broader than required</w:t>
            </w:r>
          </w:p>
        </w:tc>
        <w:tc>
          <w:tcPr>
            <w:tcW w:type="dxa" w:w="6120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Stop using the excess privilege and request correction through [process].</w:t>
            </w:r>
          </w:p>
        </w:tc>
      </w:tr>
      <w:tr>
        <w:trPr>
          <w:cantSplit/>
        </w:trPr>
        <w:tc>
          <w:tcPr>
            <w:tcW w:type="dxa" w:w="3816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Sensitive data copied to an unauthorised location</w:t>
            </w:r>
          </w:p>
        </w:tc>
        <w:tc>
          <w:tcPr>
            <w:tcW w:type="dxa" w:w="6120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Do not delete evidence; report promptly through [incident channel].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60" w:after="120"/>
      </w:pPr>
      <w:r>
        <w:rPr>
          <w:b/>
          <w:color w:val="0B2E4F"/>
        </w:rPr>
        <w:t>8. Troubleshooting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rPr>
          <w:tblHeader w:val="true"/>
          <w:cantSplit/>
        </w:trPr>
        <w:tc>
          <w:tcPr>
            <w:tcW w:type="dxa" w:w="2304"/>
            <w:shd w:fill="0B2E4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Issue</w:t>
            </w:r>
          </w:p>
        </w:tc>
        <w:tc>
          <w:tcPr>
            <w:tcW w:type="dxa" w:w="4608"/>
            <w:shd w:fill="0B2E4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Check</w:t>
            </w:r>
          </w:p>
        </w:tc>
        <w:tc>
          <w:tcPr>
            <w:tcW w:type="dxa" w:w="3024"/>
            <w:shd w:fill="0B2E4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Escalate with</w:t>
            </w:r>
          </w:p>
        </w:tc>
      </w:tr>
      <w:tr>
        <w:trPr>
          <w:cantSplit/>
        </w:trPr>
        <w:tc>
          <w:tcPr>
            <w:tcW w:type="dxa" w:w="2304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Cannot authenticate</w:t>
            </w:r>
          </w:p>
        </w:tc>
        <w:tc>
          <w:tcPr>
            <w:tcW w:type="dxa" w:w="4608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Time sync, account status, approved MFA method.</w:t>
            </w:r>
          </w:p>
        </w:tc>
        <w:tc>
          <w:tcPr>
            <w:tcW w:type="dxa" w:w="3024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Error, time, user ID, device ID.</w:t>
            </w:r>
          </w:p>
        </w:tc>
      </w:tr>
      <w:tr>
        <w:trPr>
          <w:cantSplit/>
        </w:trPr>
        <w:tc>
          <w:tcPr>
            <w:tcW w:type="dxa" w:w="2304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Connection drops</w:t>
            </w:r>
          </w:p>
        </w:tc>
        <w:tc>
          <w:tcPr>
            <w:tcW w:type="dxa" w:w="4608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Network quality, client status, approved service status.</w:t>
            </w:r>
          </w:p>
        </w:tc>
        <w:tc>
          <w:tcPr>
            <w:tcW w:type="dxa" w:w="3024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Times, frequency, network type.</w:t>
            </w:r>
          </w:p>
        </w:tc>
      </w:tr>
      <w:tr>
        <w:trPr>
          <w:cantSplit/>
        </w:trPr>
        <w:tc>
          <w:tcPr>
            <w:tcW w:type="dxa" w:w="2304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Application unavailable</w:t>
            </w:r>
          </w:p>
        </w:tc>
        <w:tc>
          <w:tcPr>
            <w:tcW w:type="dxa" w:w="4608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Remote connection is active and access is approved.</w:t>
            </w:r>
          </w:p>
        </w:tc>
        <w:tc>
          <w:tcPr>
            <w:tcW w:type="dxa" w:w="3024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Application, URL, ticket, screenshot.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60" w:after="120"/>
      </w:pPr>
      <w:r>
        <w:rPr>
          <w:b/>
          <w:color w:val="0B2E4F"/>
        </w:rPr>
        <w:t>9. Verification record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rPr>
          <w:tblHeader w:val="true"/>
          <w:cantSplit/>
        </w:trPr>
        <w:tc>
          <w:tcPr>
            <w:tcW w:type="dxa" w:w="4320"/>
            <w:shd w:fill="0B2E4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Check</w:t>
            </w:r>
          </w:p>
        </w:tc>
        <w:tc>
          <w:tcPr>
            <w:tcW w:type="dxa" w:w="1872"/>
            <w:shd w:fill="0B2E4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Result</w:t>
            </w:r>
          </w:p>
        </w:tc>
        <w:tc>
          <w:tcPr>
            <w:tcW w:type="dxa" w:w="3744"/>
            <w:shd w:fill="0B2E4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Evidence / reference</w:t>
            </w:r>
          </w:p>
        </w:tc>
      </w:tr>
      <w:tr>
        <w:trPr>
          <w:cantSplit/>
        </w:trPr>
        <w:tc>
          <w:tcPr>
            <w:tcW w:type="dxa" w:w="4320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Access approval valid</w:t>
            </w:r>
          </w:p>
        </w:tc>
        <w:tc>
          <w:tcPr>
            <w:tcW w:type="dxa" w:w="1872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[Pass / fail]</w:t>
            </w:r>
          </w:p>
        </w:tc>
        <w:tc>
          <w:tcPr>
            <w:tcW w:type="dxa" w:w="3744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[Ticket]</w:t>
            </w:r>
          </w:p>
        </w:tc>
      </w:tr>
      <w:tr>
        <w:trPr>
          <w:cantSplit/>
        </w:trPr>
        <w:tc>
          <w:tcPr>
            <w:tcW w:type="dxa" w:w="4320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MFA successful</w:t>
            </w:r>
          </w:p>
        </w:tc>
        <w:tc>
          <w:tcPr>
            <w:tcW w:type="dxa" w:w="1872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[Pass / fail]</w:t>
            </w:r>
          </w:p>
        </w:tc>
        <w:tc>
          <w:tcPr>
            <w:tcW w:type="dxa" w:w="3744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[Method]</w:t>
            </w:r>
          </w:p>
        </w:tc>
      </w:tr>
      <w:tr>
        <w:trPr>
          <w:cantSplit/>
        </w:trPr>
        <w:tc>
          <w:tcPr>
            <w:tcW w:type="dxa" w:w="4320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Approved connection used</w:t>
            </w:r>
          </w:p>
        </w:tc>
        <w:tc>
          <w:tcPr>
            <w:tcW w:type="dxa" w:w="1872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[Pass / fail]</w:t>
            </w:r>
          </w:p>
        </w:tc>
        <w:tc>
          <w:tcPr>
            <w:tcW w:type="dxa" w:w="3744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[Service]</w:t>
            </w:r>
          </w:p>
        </w:tc>
      </w:tr>
      <w:tr>
        <w:trPr>
          <w:cantSplit/>
        </w:trPr>
        <w:tc>
          <w:tcPr>
            <w:tcW w:type="dxa" w:w="4320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Session ended and recorded</w:t>
            </w:r>
          </w:p>
        </w:tc>
        <w:tc>
          <w:tcPr>
            <w:tcW w:type="dxa" w:w="1872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[Pass / fail]</w:t>
            </w:r>
          </w:p>
        </w:tc>
        <w:tc>
          <w:tcPr>
            <w:tcW w:type="dxa" w:w="3744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[Record]</w:t>
            </w:r>
          </w:p>
        </w:tc>
      </w:tr>
    </w:tbl>
    <w:p>
      <w:pPr>
        <w:spacing w:after="20"/>
      </w:pPr>
    </w:p>
    <w:sectPr>
      <w:headerReference r:id="rId10" w:type="default"/>
      <w:headerReference r:id="rId11" w:type="first"/>
      <w:footerReference r:id="rId12" w:type="default"/>
      <w:footerReference r:id="rId13" w:type="first"/>
      <w:pgSz w:h="15840" w:w="12240" w:orient="portrait"/>
      <w:pgMar w:bottom="893" w:top="1008" w:left="1008" w:right="1008" w:header="720" w:footer="720"/>
      <w:pgNumType w:start="1"/>
      <w:titlePg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 Ligh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14:paraId="000000F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6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5b7085"/>
        <w:sz w:val="20"/>
        <w:szCs w:val="20"/>
        <w:u w:val="none"/>
        <w:shd w:fill="auto" w:val="clear"/>
        <w:vertAlign w:val="baseline"/>
      </w:rPr>
    </w:pPr>
    <w:r>
      <w:rPr>
        <w:color w:val="5E738A"/>
        <w:sz w:val="16"/>
      </w:rPr>
      <w:t>Metbridge Cyber | Sample Template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14:paraId="000000F9">
    <w:pPr>
      <w:jc w:val="center"/>
      <w:rPr/>
    </w:pPr>
    <w:r>
      <w:rPr>
        <w:color w:val="5E738A"/>
        <w:sz w:val="16"/>
      </w:rPr>
      <w:t>Metbridge Cyber | Sample Template</w:t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14:paraId="000000F5">
      <w:pPr>
        <w:spacing w:after="0" w:line="270" w:lineRule="auto"/>
        <w:jc w:val="both"/>
        <w:rPr/>
      </w:pPr>
      <w:r>
        <w:rPr>
          <w:rStyle w:val="FootnoteReference"/>
          <w:vertAlign w:val="superscript"/>
        </w:rPr>
        <w:footnoteRef/>
      </w:r>
      <w:r>
        <w:rPr>
          <w:color w:val="233447"/>
          <w:rtl w:val="0"/>
        </w:rPr>
        <w:t xml:space="preserve"> Use footnotes for definitions, assumptions, or terms that need precision without interrupting the main narrative.</w:t>
      </w:r>
      <w:r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14:paraId="000000F6">
    <w:pPr>
      <w:rPr/>
    </w:pPr>
    <w:r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14:paraId="000000F8">
    <w:pPr>
      <w:rPr/>
    </w:pPr>
    <w:r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lowerLetter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)"/>
      <w:lvlJc w:val="left"/>
      <w:pPr>
        <w:ind w:left="1080" w:hanging="360"/>
      </w:pPr>
      <w:rPr/>
    </w:lvl>
    <w:lvl w:ilvl="3">
      <w:start w:val="1"/>
      <w:numFmt w:val="decimal"/>
      <w:lvlText w:val="(%4)"/>
      <w:lvlJc w:val="left"/>
      <w:pPr>
        <w:ind w:left="1440" w:hanging="360"/>
      </w:pPr>
      <w:rPr/>
    </w:lvl>
    <w:lvl w:ilvl="4">
      <w:start w:val="1"/>
      <w:numFmt w:val="lowerLetter"/>
      <w:lvlText w:val="(%5)"/>
      <w:lvlJc w:val="left"/>
      <w:pPr>
        <w:ind w:left="1800" w:hanging="360"/>
      </w:pPr>
      <w:rPr/>
    </w:lvl>
    <w:lvl w:ilvl="5">
      <w:start w:val="1"/>
      <w:numFmt w:val="lowerRoman"/>
      <w:lvlText w:val="(%6)"/>
      <w:lvlJc w:val="left"/>
      <w:pPr>
        <w:ind w:left="2160" w:hanging="360"/>
      </w:pPr>
      <w:rPr/>
    </w:lvl>
    <w:lvl w:ilvl="6">
      <w:start w:val="1"/>
      <w:numFmt w:val="decimal"/>
      <w:lvlText w:val="%7."/>
      <w:lvlJc w:val="left"/>
      <w:pPr>
        <w:ind w:left="2520" w:hanging="360"/>
      </w:pPr>
      <w:rPr/>
    </w:lvl>
    <w:lvl w:ilvl="7">
      <w:start w:val="1"/>
      <w:numFmt w:val="lowerLetter"/>
      <w:lvlText w:val="%8."/>
      <w:lvlJc w:val="left"/>
      <w:pPr>
        <w:ind w:left="2880" w:hanging="360"/>
      </w:pPr>
      <w:rPr/>
    </w:lvl>
    <w:lvl w:ilvl="8">
      <w:start w:val="1"/>
      <w:numFmt w:val="lowerRoman"/>
      <w:lvlText w:val="%9."/>
      <w:lvlJc w:val="left"/>
      <w:pPr>
        <w:ind w:left="3240" w:hanging="360"/>
      </w:pPr>
      <w:rPr/>
    </w:lvl>
  </w:abstractNum>
  <w:abstractNum w:abstractNumId="3">
    <w:lvl w:ilvl="0">
      <w:start w:val="1"/>
      <w:numFmt w:val="lowerLetter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)"/>
      <w:lvlJc w:val="left"/>
      <w:pPr>
        <w:ind w:left="1080" w:hanging="360"/>
      </w:pPr>
      <w:rPr/>
    </w:lvl>
    <w:lvl w:ilvl="3">
      <w:start w:val="1"/>
      <w:numFmt w:val="decimal"/>
      <w:lvlText w:val="(%4)"/>
      <w:lvlJc w:val="left"/>
      <w:pPr>
        <w:ind w:left="1440" w:hanging="360"/>
      </w:pPr>
      <w:rPr/>
    </w:lvl>
    <w:lvl w:ilvl="4">
      <w:start w:val="1"/>
      <w:numFmt w:val="lowerLetter"/>
      <w:lvlText w:val="(%5)"/>
      <w:lvlJc w:val="left"/>
      <w:pPr>
        <w:ind w:left="1800" w:hanging="360"/>
      </w:pPr>
      <w:rPr/>
    </w:lvl>
    <w:lvl w:ilvl="5">
      <w:start w:val="1"/>
      <w:numFmt w:val="lowerRoman"/>
      <w:lvlText w:val="(%6)"/>
      <w:lvlJc w:val="left"/>
      <w:pPr>
        <w:ind w:left="2160" w:hanging="360"/>
      </w:pPr>
      <w:rPr/>
    </w:lvl>
    <w:lvl w:ilvl="6">
      <w:start w:val="1"/>
      <w:numFmt w:val="decimal"/>
      <w:lvlText w:val="%7."/>
      <w:lvlJc w:val="left"/>
      <w:pPr>
        <w:ind w:left="2520" w:hanging="360"/>
      </w:pPr>
      <w:rPr/>
    </w:lvl>
    <w:lvl w:ilvl="7">
      <w:start w:val="1"/>
      <w:numFmt w:val="lowerLetter"/>
      <w:lvlText w:val="%8."/>
      <w:lvlJc w:val="left"/>
      <w:pPr>
        <w:ind w:left="2880" w:hanging="360"/>
      </w:pPr>
      <w:rPr/>
    </w:lvl>
    <w:lvl w:ilvl="8">
      <w:start w:val="1"/>
      <w:numFmt w:val="lowerRoman"/>
      <w:lvlText w:val="%9."/>
      <w:lvlJc w:val="left"/>
      <w:pPr>
        <w:ind w:left="3240" w:hanging="360"/>
      </w:pPr>
      <w:rPr/>
    </w:lvl>
  </w:abstractNum>
  <w:abstractNum w:abstractNumId="4">
    <w:lvl w:ilvl="0">
      <w:start w:val="1"/>
      <w:numFmt w:val="lowerLetter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233447"/>
        <w:lang w:val="en"/>
      </w:rPr>
    </w:rPrDefault>
    <w:pPrDefault>
      <w:pPr>
        <w:spacing w:after="110" w:line="30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  <w:pPr>
      <w:spacing w:after="140" w:line="276" w:lineRule="auto"/>
    </w:pPr>
    <w:rPr>
      <w:rFonts w:ascii="Helvetica Neue" w:hAnsi="Helvetica Neue"/>
      <w:color w:val="23364D"/>
      <w:sz w:val="21"/>
    </w:rPr>
  </w:style>
  <w:style w:type="paragraph" w:styleId="Heading1">
    <w:name w:val="heading 1"/>
    <w:basedOn w:val="Normal"/>
    <w:next w:val="Normal"/>
    <w:pPr>
      <w:keepNext w:val="1"/>
      <w:keepLines w:val="1"/>
      <w:pBdr>
        <w:top w:color="2f6b9a" w:space="2" w:sz="0" w:val="none"/>
        <w:left w:color="2f6b9a" w:space="2" w:sz="0" w:val="none"/>
        <w:bottom w:color="2f6b9a" w:space="2" w:sz="0" w:val="none"/>
        <w:right w:color="2f6b9a" w:space="2" w:sz="0" w:val="none"/>
      </w:pBdr>
      <w:spacing w:after="130" w:line="285" w:lineRule="auto"/>
    </w:pPr>
    <w:rPr>
      <w:rFonts w:ascii="Helvetica Neue" w:hAnsi="Helvetica Neue"/>
      <w:b/>
      <w:bCs w:val="1"/>
      <w:color w:val="0B2E4F"/>
      <w:sz w:val="36"/>
      <w:szCs w:val="27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smallCaps w:val="1"/>
      <w:color w:val="082a4a"/>
      <w:sz w:val="19"/>
      <w:szCs w:val="19"/>
    </w:rPr>
  </w:style>
  <w:style w:type="paragraph" w:styleId="Heading3">
    <w:name w:val="heading 3"/>
    <w:basedOn w:val="Normal"/>
    <w:next w:val="Normal"/>
    <w:pPr>
      <w:keepNext w:val="1"/>
      <w:keepLines w:val="1"/>
    </w:pPr>
    <w:rPr>
      <w:rFonts w:ascii="Helvetica Neue" w:cs="Helvetica Neue" w:eastAsia="Helvetica Neue" w:hAnsi="Helvetica Neue"/>
      <w:b/>
      <w:bCs w:val="1"/>
      <w:color w:val="0B2E4F"/>
      <w:sz w:val="22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082a4a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082a4a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082a4a"/>
    </w:rPr>
  </w:style>
  <w:style w:type="paragraph" w:styleId="Title">
    <w:name w:val="Title"/>
    <w:basedOn w:val="Normal"/>
    <w:next w:val="Normal"/>
    <w:pPr>
      <w:spacing w:after="150" w:lineRule="auto"/>
    </w:pPr>
    <w:rPr>
      <w:rFonts w:ascii="Helvetica Neue" w:hAnsi="Helvetica Neue"/>
      <w:b/>
      <w:bCs w:val="1"/>
      <w:color w:val="0B2E4F"/>
      <w:sz w:val="68"/>
      <w:szCs w:val="44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082a4a"/>
      <w:sz w:val="24"/>
      <w:szCs w:val="24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'1.0' encoding='UTF-8' standalone='yes'?>
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eader" Target="header1.xml"/><Relationship Id="rId13" Type="http://schemas.openxmlformats.org/officeDocument/2006/relationships/footer" Target="footer2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example.com/system-design/contracts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8" Type="http://schemas.openxmlformats.org/officeDocument/2006/relationships/image" Target="media/image1.png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HelveticaNeueLight-regular.ttf"/><Relationship Id="rId6" Type="http://schemas.openxmlformats.org/officeDocument/2006/relationships/font" Target="fonts/HelveticaNeueLight-bold.ttf"/><Relationship Id="rId7" Type="http://schemas.openxmlformats.org/officeDocument/2006/relationships/font" Target="fonts/HelveticaNeueLight-italic.ttf"/><Relationship Id="rId8" Type="http://schemas.openxmlformats.org/officeDocument/2006/relationships/font" Target="fonts/HelveticaNeueLigh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Secure Remote Access Work Instruction</dc:title>
  <cp:lastModifiedBy>Metbridge Pty Ltd</cp:lastModifiedBy>
  <cp:revision>1</cp:revision>
  <dcterms:modified xsi:type="dcterms:W3CDTF">2026-09-05T00:53:14Z</dcterms:modified>
  <dc:subject>Editable sample cyber security template</dc:subject>
  <dc:creator>Metbridge Pty Ltd</dc:creator>
  <dc:description/>
  <cp:keywords>cyber security, template, governance</cp:keywords>
</cp:coreProperties>
</file>